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286B" w:rsidRDefault="00773F67">
      <w:pPr>
        <w:rPr>
          <w:rFonts w:ascii="Arial" w:eastAsia="Arial" w:hAnsi="Arial" w:cs="Arial"/>
          <w:b/>
          <w:sz w:val="36"/>
          <w:szCs w:val="36"/>
        </w:rPr>
      </w:pPr>
      <w:bookmarkStart w:id="0" w:name="_GoBack"/>
      <w:bookmarkEnd w:id="0"/>
      <w:r>
        <w:rPr>
          <w:rFonts w:ascii="Arial" w:eastAsia="Arial" w:hAnsi="Arial" w:cs="Arial"/>
          <w:b/>
          <w:sz w:val="36"/>
          <w:szCs w:val="36"/>
        </w:rPr>
        <w:t>Framework Schedule 3 (Framework Prices)</w:t>
      </w:r>
    </w:p>
    <w:p w:rsidR="00A8286B" w:rsidRDefault="00773F67">
      <w:pPr>
        <w:numPr>
          <w:ilvl w:val="0"/>
          <w:numId w:val="2"/>
        </w:numPr>
        <w:pBdr>
          <w:top w:val="nil"/>
          <w:left w:val="nil"/>
          <w:bottom w:val="nil"/>
          <w:right w:val="nil"/>
          <w:between w:val="nil"/>
        </w:pBdr>
        <w:tabs>
          <w:tab w:val="left" w:pos="142"/>
        </w:tabs>
        <w:spacing w:before="120" w:after="240" w:line="240" w:lineRule="auto"/>
        <w:jc w:val="both"/>
      </w:pPr>
      <w:bookmarkStart w:id="1" w:name="_heading=h.gjdgxs" w:colFirst="0" w:colLast="0"/>
      <w:bookmarkEnd w:id="1"/>
      <w:r>
        <w:rPr>
          <w:rFonts w:ascii="Arial" w:eastAsia="Arial" w:hAnsi="Arial" w:cs="Arial"/>
          <w:b/>
          <w:color w:val="000000"/>
          <w:sz w:val="24"/>
          <w:szCs w:val="24"/>
        </w:rPr>
        <w:t>How Framework Prices are used to calculate Call-Off Charges</w:t>
      </w:r>
    </w:p>
    <w:p w:rsidR="00A8286B" w:rsidRDefault="00773F67">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rsidR="00A8286B" w:rsidRDefault="00773F67">
      <w:pPr>
        <w:numPr>
          <w:ilvl w:val="2"/>
          <w:numId w:val="2"/>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during the Fram</w:t>
      </w:r>
      <w:r>
        <w:rPr>
          <w:rFonts w:ascii="Arial" w:eastAsia="Arial" w:hAnsi="Arial" w:cs="Arial"/>
          <w:sz w:val="24"/>
          <w:szCs w:val="24"/>
        </w:rPr>
        <w:t>ework Contract Period</w:t>
      </w:r>
      <w:r>
        <w:rPr>
          <w:rFonts w:ascii="Arial" w:eastAsia="Arial" w:hAnsi="Arial" w:cs="Arial"/>
          <w:color w:val="000000"/>
          <w:sz w:val="24"/>
          <w:szCs w:val="24"/>
        </w:rPr>
        <w:t>) under each Call Off Contract; and</w:t>
      </w:r>
    </w:p>
    <w:p w:rsidR="00A8286B" w:rsidRDefault="00773F67">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rsidR="00A8286B" w:rsidRDefault="00773F67">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rsidR="00A8286B" w:rsidRDefault="00773F67">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rsidR="00A8286B" w:rsidRDefault="00773F67">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specifically permitted by the Call Off Contract and in particular shall only be subject to Indexation where specifically stated in the Order Form; and</w:t>
      </w:r>
    </w:p>
    <w:p w:rsidR="00A8286B" w:rsidRDefault="00773F67">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sz w:val="24"/>
          <w:szCs w:val="24"/>
        </w:rPr>
        <w:t>s</w:t>
      </w:r>
      <w:r>
        <w:rPr>
          <w:rFonts w:ascii="Arial" w:eastAsia="Arial" w:hAnsi="Arial" w:cs="Arial"/>
          <w:color w:val="000000"/>
          <w:sz w:val="24"/>
          <w:szCs w:val="24"/>
        </w:rPr>
        <w:t xml:space="preserve">hall not be impacted by any change to the Framework Prices. </w:t>
      </w:r>
    </w:p>
    <w:p w:rsidR="00A8286B" w:rsidRDefault="00773F67">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Any variation</w:t>
      </w:r>
      <w:r>
        <w:rPr>
          <w:rFonts w:ascii="Arial" w:eastAsia="Arial" w:hAnsi="Arial" w:cs="Arial"/>
          <w:color w:val="000000"/>
          <w:sz w:val="24"/>
          <w:szCs w:val="24"/>
        </w:rPr>
        <w:t xml:space="preserve"> to the Charges payable under a Call Off Contract must be agreed between the Supplier and the Buyer and implemented using the same procedure for altering Framework Prices in accordance with the provisions of this Framework Schedule 3</w:t>
      </w:r>
      <w:r>
        <w:rPr>
          <w:rFonts w:ascii="Arial" w:eastAsia="Arial" w:hAnsi="Arial" w:cs="Arial"/>
          <w:sz w:val="24"/>
          <w:szCs w:val="24"/>
        </w:rPr>
        <w:t>.</w:t>
      </w:r>
    </w:p>
    <w:p w:rsidR="00A8286B" w:rsidRDefault="00773F67">
      <w:pPr>
        <w:numPr>
          <w:ilvl w:val="0"/>
          <w:numId w:val="2"/>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rsidR="00A8286B" w:rsidRDefault="00773F67">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Framework Prices in Call Off Contracts.</w:t>
      </w:r>
    </w:p>
    <w:p w:rsidR="00A8286B" w:rsidRDefault="00773F67">
      <w:pPr>
        <w:numPr>
          <w:ilvl w:val="0"/>
          <w:numId w:val="2"/>
        </w:numPr>
        <w:pBdr>
          <w:top w:val="nil"/>
          <w:left w:val="nil"/>
          <w:bottom w:val="nil"/>
          <w:right w:val="nil"/>
          <w:between w:val="nil"/>
        </w:pBdr>
        <w:tabs>
          <w:tab w:val="left" w:pos="142"/>
        </w:tabs>
        <w:spacing w:before="120" w:after="240" w:line="240" w:lineRule="auto"/>
        <w:jc w:val="both"/>
      </w:pPr>
      <w:bookmarkStart w:id="3" w:name="bookmark=id.3znysh7" w:colFirst="0" w:colLast="0"/>
      <w:bookmarkStart w:id="4" w:name="_heading=h.1fob9te" w:colFirst="0" w:colLast="0"/>
      <w:bookmarkEnd w:id="3"/>
      <w:bookmarkEnd w:id="4"/>
      <w:r>
        <w:rPr>
          <w:rFonts w:ascii="Arial" w:eastAsia="Arial" w:hAnsi="Arial" w:cs="Arial"/>
          <w:b/>
          <w:color w:val="000000"/>
          <w:sz w:val="24"/>
          <w:szCs w:val="24"/>
        </w:rPr>
        <w:t xml:space="preserve">Are costs and expenses are included in the Framework </w:t>
      </w:r>
      <w:proofErr w:type="gramStart"/>
      <w:r>
        <w:rPr>
          <w:rFonts w:ascii="Arial" w:eastAsia="Arial" w:hAnsi="Arial" w:cs="Arial"/>
          <w:b/>
          <w:color w:val="000000"/>
          <w:sz w:val="24"/>
          <w:szCs w:val="24"/>
        </w:rPr>
        <w:t>Prices</w:t>
      </w:r>
      <w:proofErr w:type="gramEnd"/>
    </w:p>
    <w:p w:rsidR="00A8286B" w:rsidRDefault="00773F67">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Except as expressly se</w:t>
      </w:r>
      <w:r>
        <w:rPr>
          <w:rFonts w:ascii="Arial" w:eastAsia="Arial" w:hAnsi="Arial" w:cs="Arial"/>
          <w:color w:val="000000"/>
          <w:sz w:val="24"/>
          <w:szCs w:val="24"/>
        </w:rPr>
        <w:t>t out in Paragraph 4 below, or otherwise stated in a Call Off Order Form the Framework Prices shall include all costs and expenses relating to the provision of Deliverables. No further amounts shall be payable in respect of matters such as:</w:t>
      </w:r>
    </w:p>
    <w:p w:rsidR="00A8286B" w:rsidRDefault="00773F67">
      <w:pPr>
        <w:numPr>
          <w:ilvl w:val="2"/>
          <w:numId w:val="2"/>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w:t>
      </w:r>
      <w:r>
        <w:rPr>
          <w:rFonts w:ascii="Arial" w:eastAsia="Arial" w:hAnsi="Arial" w:cs="Arial"/>
          <w:color w:val="000000"/>
          <w:sz w:val="24"/>
          <w:szCs w:val="24"/>
        </w:rPr>
        <w:t>nses such as travel, subsistence and lodging, document or report reproduction, shipping, desktop or office equipment costs, network or data interchange costs or other telecommunications charges; or</w:t>
      </w:r>
    </w:p>
    <w:p w:rsidR="00A8286B" w:rsidRDefault="00773F67">
      <w:pPr>
        <w:numPr>
          <w:ilvl w:val="2"/>
          <w:numId w:val="2"/>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costs incurred prior to the commencement of any Call Off C</w:t>
      </w:r>
      <w:r>
        <w:rPr>
          <w:rFonts w:ascii="Arial" w:eastAsia="Arial" w:hAnsi="Arial" w:cs="Arial"/>
          <w:color w:val="000000"/>
          <w:sz w:val="24"/>
          <w:szCs w:val="24"/>
        </w:rPr>
        <w:t>ontract</w:t>
      </w:r>
      <w:r>
        <w:rPr>
          <w:rFonts w:ascii="Arial" w:eastAsia="Arial" w:hAnsi="Arial" w:cs="Arial"/>
          <w:sz w:val="24"/>
          <w:szCs w:val="24"/>
        </w:rPr>
        <w:t>.</w:t>
      </w:r>
    </w:p>
    <w:p w:rsidR="00A8286B" w:rsidRDefault="00773F67">
      <w:pPr>
        <w:numPr>
          <w:ilvl w:val="0"/>
          <w:numId w:val="2"/>
        </w:numPr>
        <w:pBdr>
          <w:top w:val="nil"/>
          <w:left w:val="nil"/>
          <w:bottom w:val="nil"/>
          <w:right w:val="nil"/>
          <w:between w:val="nil"/>
        </w:pBdr>
        <w:tabs>
          <w:tab w:val="left" w:pos="709"/>
        </w:tabs>
        <w:spacing w:before="120" w:after="240" w:line="240" w:lineRule="auto"/>
        <w:jc w:val="both"/>
      </w:pPr>
      <w:r>
        <w:rPr>
          <w:rFonts w:ascii="Arial" w:eastAsia="Arial" w:hAnsi="Arial" w:cs="Arial"/>
          <w:b/>
          <w:sz w:val="24"/>
          <w:szCs w:val="24"/>
        </w:rPr>
        <w:t xml:space="preserve">Not used </w:t>
      </w:r>
    </w:p>
    <w:p w:rsidR="00A8286B" w:rsidRDefault="00773F67">
      <w:pPr>
        <w:numPr>
          <w:ilvl w:val="0"/>
          <w:numId w:val="2"/>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rsidR="00A8286B" w:rsidRDefault="00773F67">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rsidR="00A8286B" w:rsidRDefault="00773F67">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lastRenderedPageBreak/>
        <w:t>a Specific Change in Law in accordance with Clause 24;</w:t>
      </w:r>
    </w:p>
    <w:p w:rsidR="00A8286B" w:rsidRDefault="00773F67">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rsidR="00A8286B" w:rsidRDefault="00773F67">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benchmarking review in accordance with Call Off Schedule 16 (Benchmarking); and </w:t>
      </w:r>
    </w:p>
    <w:p w:rsidR="00A8286B" w:rsidRDefault="00773F67">
      <w:pPr>
        <w:numPr>
          <w:ilvl w:val="2"/>
          <w:numId w:val="2"/>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Framework Prices</w:t>
      </w:r>
      <w:r>
        <w:rPr>
          <w:rFonts w:ascii="Arial" w:eastAsia="Arial" w:hAnsi="Arial" w:cs="Arial"/>
          <w:sz w:val="24"/>
          <w:szCs w:val="24"/>
        </w:rPr>
        <w:t xml:space="preserve">. </w:t>
      </w:r>
    </w:p>
    <w:p w:rsidR="00A8286B" w:rsidRDefault="00773F67">
      <w:pPr>
        <w:numPr>
          <w:ilvl w:val="0"/>
          <w:numId w:val="2"/>
        </w:numPr>
        <w:pBdr>
          <w:top w:val="nil"/>
          <w:left w:val="nil"/>
          <w:bottom w:val="nil"/>
          <w:right w:val="nil"/>
          <w:between w:val="nil"/>
        </w:pBdr>
        <w:tabs>
          <w:tab w:val="left" w:pos="142"/>
        </w:tabs>
        <w:spacing w:before="120" w:after="240" w:line="240" w:lineRule="auto"/>
        <w:jc w:val="both"/>
        <w:rPr>
          <w:b/>
          <w:color w:val="000000"/>
          <w:sz w:val="26"/>
          <w:szCs w:val="26"/>
        </w:rPr>
      </w:pPr>
      <w:r>
        <w:rPr>
          <w:rFonts w:ascii="Arial" w:eastAsia="Arial" w:hAnsi="Arial" w:cs="Arial"/>
          <w:b/>
          <w:color w:val="000000"/>
          <w:sz w:val="24"/>
          <w:szCs w:val="24"/>
        </w:rPr>
        <w:t>When the Fra</w:t>
      </w:r>
      <w:r>
        <w:rPr>
          <w:rFonts w:ascii="Arial" w:eastAsia="Arial" w:hAnsi="Arial" w:cs="Arial"/>
          <w:b/>
          <w:color w:val="000000"/>
          <w:sz w:val="24"/>
          <w:szCs w:val="24"/>
        </w:rPr>
        <w:t xml:space="preserve">mework Prices are linked to inflation </w:t>
      </w:r>
    </w:p>
    <w:p w:rsidR="00A8286B" w:rsidRDefault="00773F67">
      <w:pPr>
        <w:numPr>
          <w:ilvl w:val="1"/>
          <w:numId w:val="2"/>
        </w:numPr>
        <w:tabs>
          <w:tab w:val="left" w:pos="1985"/>
          <w:tab w:val="left" w:pos="2127"/>
        </w:tabs>
        <w:spacing w:before="120" w:after="120" w:line="240" w:lineRule="auto"/>
        <w:ind w:left="1133" w:hanging="425"/>
      </w:pPr>
      <w:r>
        <w:rPr>
          <w:rFonts w:ascii="Arial" w:eastAsia="Arial" w:hAnsi="Arial" w:cs="Arial"/>
          <w:sz w:val="24"/>
          <w:szCs w:val="24"/>
        </w:rPr>
        <w:t xml:space="preserve">The Framework Prices will be fixed for the Framework Contract Period. </w:t>
      </w:r>
    </w:p>
    <w:p w:rsidR="00A8286B" w:rsidRDefault="00773F67">
      <w:pPr>
        <w:numPr>
          <w:ilvl w:val="1"/>
          <w:numId w:val="2"/>
        </w:numPr>
        <w:pBdr>
          <w:top w:val="nil"/>
          <w:left w:val="nil"/>
          <w:bottom w:val="nil"/>
          <w:right w:val="nil"/>
          <w:between w:val="nil"/>
        </w:pBdr>
        <w:tabs>
          <w:tab w:val="left" w:pos="1985"/>
          <w:tab w:val="left" w:pos="2127"/>
        </w:tabs>
        <w:spacing w:before="120" w:after="120" w:line="240" w:lineRule="auto"/>
        <w:ind w:left="1133" w:hanging="425"/>
        <w:rPr>
          <w:rFonts w:ascii="Arial" w:eastAsia="Arial" w:hAnsi="Arial" w:cs="Arial"/>
          <w:sz w:val="24"/>
          <w:szCs w:val="24"/>
        </w:rPr>
      </w:pPr>
      <w:r>
        <w:rPr>
          <w:rFonts w:ascii="Arial" w:eastAsia="Arial" w:hAnsi="Arial" w:cs="Arial"/>
          <w:sz w:val="24"/>
          <w:szCs w:val="24"/>
        </w:rPr>
        <w:t>Where the Order Form permits, the Buyer may apply Service Producer Price Indices (SPPI) group 70.2 to the Charges. With agreement from the Buyer, the Charges may exceed the Framework Prices after the Framework Expiry Date.</w:t>
      </w:r>
    </w:p>
    <w:p w:rsidR="00A8286B" w:rsidRDefault="00773F67">
      <w:pPr>
        <w:numPr>
          <w:ilvl w:val="0"/>
          <w:numId w:val="2"/>
        </w:numPr>
        <w:pBdr>
          <w:top w:val="nil"/>
          <w:left w:val="nil"/>
          <w:bottom w:val="nil"/>
          <w:right w:val="nil"/>
          <w:between w:val="nil"/>
        </w:pBdr>
        <w:tabs>
          <w:tab w:val="left" w:pos="142"/>
        </w:tabs>
        <w:spacing w:before="120" w:after="240" w:line="240" w:lineRule="auto"/>
        <w:jc w:val="both"/>
        <w:rPr>
          <w:b/>
          <w:color w:val="000000"/>
          <w:sz w:val="26"/>
          <w:szCs w:val="26"/>
        </w:rPr>
      </w:pPr>
      <w:r>
        <w:rPr>
          <w:rFonts w:ascii="Arial" w:eastAsia="Arial" w:hAnsi="Arial" w:cs="Arial"/>
          <w:b/>
          <w:color w:val="000000"/>
          <w:sz w:val="24"/>
          <w:szCs w:val="24"/>
        </w:rPr>
        <w:t>When you will be reimbursed for t</w:t>
      </w:r>
      <w:r>
        <w:rPr>
          <w:rFonts w:ascii="Arial" w:eastAsia="Arial" w:hAnsi="Arial" w:cs="Arial"/>
          <w:b/>
          <w:color w:val="000000"/>
          <w:sz w:val="24"/>
          <w:szCs w:val="24"/>
        </w:rPr>
        <w:t>ravel and subsistence</w:t>
      </w:r>
    </w:p>
    <w:p w:rsidR="00A8286B" w:rsidRDefault="00773F67">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Expenses shall only be recoverable where:</w:t>
      </w:r>
    </w:p>
    <w:p w:rsidR="00A8286B" w:rsidRDefault="00773F67">
      <w:pPr>
        <w:numPr>
          <w:ilvl w:val="2"/>
          <w:numId w:val="2"/>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Order Form states that recovery is permitted; and</w:t>
      </w:r>
    </w:p>
    <w:p w:rsidR="00A8286B" w:rsidRDefault="00773F67">
      <w:pPr>
        <w:numPr>
          <w:ilvl w:val="2"/>
          <w:numId w:val="2"/>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they are </w:t>
      </w:r>
      <w:r>
        <w:rPr>
          <w:rFonts w:ascii="Arial" w:eastAsia="Arial" w:hAnsi="Arial" w:cs="Arial"/>
          <w:sz w:val="24"/>
          <w:szCs w:val="24"/>
        </w:rPr>
        <w:t>Reimbursable</w:t>
      </w:r>
      <w:r>
        <w:rPr>
          <w:rFonts w:ascii="Arial" w:eastAsia="Arial" w:hAnsi="Arial" w:cs="Arial"/>
          <w:color w:val="000000"/>
          <w:sz w:val="24"/>
          <w:szCs w:val="24"/>
        </w:rPr>
        <w:t xml:space="preserve"> Expenses and are supported by Supporting Documentation.</w:t>
      </w:r>
    </w:p>
    <w:p w:rsidR="00A8286B" w:rsidRDefault="00773F67">
      <w:pPr>
        <w:numPr>
          <w:ilvl w:val="1"/>
          <w:numId w:val="2"/>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5" w:name="_heading=h.3dy6vkm" w:colFirst="0" w:colLast="0"/>
      <w:bookmarkEnd w:id="5"/>
      <w:r>
        <w:rPr>
          <w:rFonts w:ascii="Arial" w:eastAsia="Arial" w:hAnsi="Arial" w:cs="Arial"/>
          <w:color w:val="000000"/>
          <w:sz w:val="24"/>
          <w:szCs w:val="24"/>
        </w:rPr>
        <w:t xml:space="preserve">The Buyer shall provide a copy of their current expenses policy to the Supplier upon request. </w:t>
      </w:r>
    </w:p>
    <w:p w:rsidR="00A8286B" w:rsidRDefault="00A8286B">
      <w:pPr>
        <w:pBdr>
          <w:top w:val="nil"/>
          <w:left w:val="nil"/>
          <w:bottom w:val="nil"/>
          <w:right w:val="nil"/>
          <w:between w:val="nil"/>
        </w:pBdr>
        <w:tabs>
          <w:tab w:val="left" w:pos="0"/>
        </w:tabs>
        <w:spacing w:before="240" w:after="240" w:line="240" w:lineRule="auto"/>
        <w:ind w:left="644" w:hanging="360"/>
        <w:jc w:val="both"/>
        <w:rPr>
          <w:rFonts w:ascii="Arial" w:eastAsia="Arial" w:hAnsi="Arial" w:cs="Arial"/>
          <w:b/>
          <w:smallCaps/>
          <w:color w:val="000000"/>
          <w:highlight w:val="yellow"/>
        </w:rPr>
      </w:pPr>
    </w:p>
    <w:p w:rsidR="00A8286B" w:rsidRDefault="00A8286B">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rsidR="00A8286B" w:rsidRDefault="00773F67">
      <w:pPr>
        <w:rPr>
          <w:rFonts w:ascii="Arial" w:eastAsia="Arial" w:hAnsi="Arial" w:cs="Arial"/>
          <w:b/>
          <w:sz w:val="36"/>
          <w:szCs w:val="36"/>
        </w:rPr>
      </w:pPr>
      <w:bookmarkStart w:id="6" w:name="_heading=h.1t3h5sf" w:colFirst="0" w:colLast="0"/>
      <w:bookmarkEnd w:id="6"/>
      <w:r>
        <w:br w:type="page"/>
      </w:r>
      <w:r>
        <w:rPr>
          <w:rFonts w:ascii="Arial" w:eastAsia="Arial" w:hAnsi="Arial" w:cs="Arial"/>
          <w:b/>
          <w:sz w:val="36"/>
          <w:szCs w:val="36"/>
        </w:rPr>
        <w:lastRenderedPageBreak/>
        <w:t>Annex 1: Rates and Prices</w:t>
      </w:r>
    </w:p>
    <w:p w:rsidR="00A8286B" w:rsidRDefault="00773F67">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1: Time and Materials</w:t>
      </w:r>
    </w:p>
    <w:p w:rsidR="00A8286B" w:rsidRDefault="00773F67">
      <w:pPr>
        <w:keepNext/>
        <w:pBdr>
          <w:top w:val="nil"/>
          <w:left w:val="nil"/>
          <w:bottom w:val="nil"/>
          <w:right w:val="nil"/>
          <w:between w:val="nil"/>
        </w:pBdr>
        <w:spacing w:before="240" w:after="240" w:line="240" w:lineRule="auto"/>
        <w:rPr>
          <w:rFonts w:ascii="Arial" w:eastAsia="Arial" w:hAnsi="Arial" w:cs="Arial"/>
          <w:sz w:val="24"/>
          <w:szCs w:val="24"/>
        </w:rPr>
      </w:pPr>
      <w:r>
        <w:rPr>
          <w:rFonts w:ascii="Arial" w:eastAsia="Arial" w:hAnsi="Arial" w:cs="Arial"/>
          <w:color w:val="000000"/>
          <w:sz w:val="24"/>
          <w:szCs w:val="24"/>
        </w:rPr>
        <w:t>The Supplier (and its Sub-Contractor) shall not be entitled to include any uplift for risks or contingencies within its day rates</w:t>
      </w:r>
    </w:p>
    <w:p w:rsidR="00A8286B" w:rsidRDefault="00773F67">
      <w:pPr>
        <w:pBdr>
          <w:top w:val="nil"/>
          <w:left w:val="nil"/>
          <w:bottom w:val="nil"/>
          <w:right w:val="nil"/>
          <w:between w:val="nil"/>
        </w:pBdr>
        <w:spacing w:before="240" w:after="120" w:line="240" w:lineRule="auto"/>
        <w:rPr>
          <w:rFonts w:ascii="Arial" w:eastAsia="Arial" w:hAnsi="Arial" w:cs="Arial"/>
          <w:sz w:val="24"/>
          <w:szCs w:val="24"/>
        </w:rPr>
      </w:pPr>
      <w:r>
        <w:rPr>
          <w:rFonts w:ascii="Arial" w:eastAsia="Arial" w:hAnsi="Arial" w:cs="Arial"/>
          <w:sz w:val="24"/>
          <w:szCs w:val="24"/>
        </w:rPr>
        <w:t>Lots 1 to 9</w:t>
      </w:r>
    </w:p>
    <w:tbl>
      <w:tblPr>
        <w:tblStyle w:val="a4"/>
        <w:tblW w:w="9140" w:type="dxa"/>
        <w:tblInd w:w="-11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994"/>
        <w:gridCol w:w="3073"/>
        <w:gridCol w:w="3073"/>
      </w:tblGrid>
      <w:tr w:rsidR="00A8286B">
        <w:tc>
          <w:tcPr>
            <w:tcW w:w="2994" w:type="dxa"/>
            <w:shd w:val="clear" w:color="auto" w:fill="548DD4"/>
          </w:tcPr>
          <w:p w:rsidR="00A8286B" w:rsidRDefault="00773F67">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Staff Grade</w:t>
            </w:r>
          </w:p>
        </w:tc>
        <w:tc>
          <w:tcPr>
            <w:tcW w:w="3072" w:type="dxa"/>
            <w:shd w:val="clear" w:color="auto" w:fill="548DD4"/>
          </w:tcPr>
          <w:p w:rsidR="00A8286B" w:rsidRDefault="00773F67">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sz w:val="24"/>
                <w:szCs w:val="24"/>
              </w:rPr>
              <w:t xml:space="preserve">Advice </w:t>
            </w:r>
            <w:r>
              <w:rPr>
                <w:rFonts w:ascii="Arial" w:eastAsia="Arial" w:hAnsi="Arial" w:cs="Arial"/>
                <w:b/>
                <w:color w:val="000000"/>
                <w:sz w:val="24"/>
                <w:szCs w:val="24"/>
              </w:rPr>
              <w:t>Day Rate (£)</w:t>
            </w:r>
          </w:p>
        </w:tc>
        <w:tc>
          <w:tcPr>
            <w:tcW w:w="3072" w:type="dxa"/>
            <w:shd w:val="clear" w:color="auto" w:fill="548DD4"/>
          </w:tcPr>
          <w:p w:rsidR="00A8286B" w:rsidRDefault="00773F67">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sz w:val="24"/>
                <w:szCs w:val="24"/>
              </w:rPr>
              <w:t>Delivery Day Rate (£)</w:t>
            </w:r>
          </w:p>
        </w:tc>
      </w:tr>
      <w:tr w:rsidR="00A8286B">
        <w:tc>
          <w:tcPr>
            <w:tcW w:w="299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00" w:type="dxa"/>
            </w:tcMar>
          </w:tcPr>
          <w:p w:rsidR="00A8286B" w:rsidRDefault="00773F67">
            <w:pPr>
              <w:keepNext/>
              <w:spacing w:before="240" w:after="120" w:line="276" w:lineRule="auto"/>
              <w:rPr>
                <w:rFonts w:ascii="Arial" w:eastAsia="Arial" w:hAnsi="Arial" w:cs="Arial"/>
                <w:sz w:val="24"/>
                <w:szCs w:val="24"/>
              </w:rPr>
            </w:pPr>
            <w:r>
              <w:rPr>
                <w:rFonts w:ascii="Arial" w:eastAsia="Arial" w:hAnsi="Arial" w:cs="Arial"/>
                <w:sz w:val="24"/>
                <w:szCs w:val="24"/>
              </w:rPr>
              <w:t>Partner</w:t>
            </w:r>
          </w:p>
        </w:tc>
        <w:tc>
          <w:tcPr>
            <w:tcW w:w="3072" w:type="dxa"/>
            <w:tcBorders>
              <w:top w:val="single" w:sz="6" w:space="0" w:color="000000"/>
              <w:left w:val="nil"/>
              <w:bottom w:val="single" w:sz="6" w:space="0" w:color="000000"/>
              <w:right w:val="single" w:sz="6" w:space="0" w:color="000000"/>
            </w:tcBorders>
            <w:tcMar>
              <w:top w:w="0" w:type="dxa"/>
              <w:left w:w="120" w:type="dxa"/>
              <w:bottom w:w="0" w:type="dxa"/>
              <w:right w:w="100" w:type="dxa"/>
            </w:tcMar>
          </w:tcPr>
          <w:p w:rsidR="00A8286B" w:rsidRDefault="00773F67">
            <w:pPr>
              <w:keepNext/>
              <w:spacing w:before="240" w:after="120" w:line="276" w:lineRule="auto"/>
              <w:ind w:left="40"/>
              <w:rPr>
                <w:rFonts w:ascii="Arial" w:eastAsia="Arial" w:hAnsi="Arial" w:cs="Arial"/>
                <w:sz w:val="24"/>
                <w:szCs w:val="24"/>
              </w:rPr>
            </w:pPr>
            <w:r>
              <w:rPr>
                <w:rFonts w:ascii="Arial" w:eastAsia="Arial" w:hAnsi="Arial" w:cs="Arial"/>
                <w:sz w:val="24"/>
                <w:szCs w:val="24"/>
              </w:rPr>
              <w:t>[T&amp;M]</w:t>
            </w:r>
          </w:p>
        </w:tc>
        <w:tc>
          <w:tcPr>
            <w:tcW w:w="3072" w:type="dxa"/>
            <w:tcBorders>
              <w:top w:val="single" w:sz="6" w:space="0" w:color="000000"/>
              <w:left w:val="nil"/>
              <w:bottom w:val="single" w:sz="6" w:space="0" w:color="000000"/>
              <w:right w:val="single" w:sz="6" w:space="0" w:color="000000"/>
            </w:tcBorders>
            <w:tcMar>
              <w:top w:w="0" w:type="dxa"/>
              <w:left w:w="120" w:type="dxa"/>
              <w:bottom w:w="0" w:type="dxa"/>
              <w:right w:w="100" w:type="dxa"/>
            </w:tcMar>
          </w:tcPr>
          <w:p w:rsidR="00A8286B" w:rsidRDefault="00773F67">
            <w:pPr>
              <w:keepNext/>
              <w:spacing w:before="240" w:after="120" w:line="276" w:lineRule="auto"/>
              <w:ind w:left="40"/>
              <w:rPr>
                <w:rFonts w:ascii="Arial" w:eastAsia="Arial" w:hAnsi="Arial" w:cs="Arial"/>
                <w:sz w:val="24"/>
                <w:szCs w:val="24"/>
              </w:rPr>
            </w:pPr>
            <w:r>
              <w:rPr>
                <w:rFonts w:ascii="Arial" w:eastAsia="Arial" w:hAnsi="Arial" w:cs="Arial"/>
                <w:sz w:val="24"/>
                <w:szCs w:val="24"/>
              </w:rPr>
              <w:t>[T&amp;M]</w:t>
            </w:r>
          </w:p>
        </w:tc>
      </w:tr>
      <w:tr w:rsidR="00A8286B">
        <w:tc>
          <w:tcPr>
            <w:tcW w:w="2994" w:type="dxa"/>
            <w:tcBorders>
              <w:top w:val="nil"/>
              <w:left w:val="single" w:sz="6" w:space="0" w:color="000000"/>
              <w:bottom w:val="single" w:sz="6" w:space="0" w:color="000000"/>
              <w:right w:val="single" w:sz="6" w:space="0" w:color="000000"/>
            </w:tcBorders>
            <w:tcMar>
              <w:top w:w="40" w:type="dxa"/>
              <w:left w:w="40" w:type="dxa"/>
              <w:bottom w:w="40" w:type="dxa"/>
              <w:right w:w="40" w:type="dxa"/>
            </w:tcMar>
          </w:tcPr>
          <w:p w:rsidR="00A8286B" w:rsidRDefault="00773F67">
            <w:pPr>
              <w:keepNext/>
              <w:spacing w:before="240"/>
              <w:ind w:left="141"/>
              <w:rPr>
                <w:rFonts w:ascii="Arial" w:eastAsia="Arial" w:hAnsi="Arial" w:cs="Arial"/>
                <w:sz w:val="24"/>
                <w:szCs w:val="24"/>
              </w:rPr>
            </w:pPr>
            <w:r>
              <w:rPr>
                <w:rFonts w:ascii="Arial" w:eastAsia="Arial" w:hAnsi="Arial" w:cs="Arial"/>
                <w:sz w:val="24"/>
                <w:szCs w:val="24"/>
              </w:rPr>
              <w:t>Managing Consultant / Director</w:t>
            </w:r>
          </w:p>
        </w:tc>
        <w:tc>
          <w:tcPr>
            <w:tcW w:w="3072" w:type="dxa"/>
            <w:tcBorders>
              <w:top w:val="nil"/>
              <w:left w:val="nil"/>
              <w:bottom w:val="single" w:sz="6" w:space="0" w:color="000000"/>
              <w:right w:val="single" w:sz="6" w:space="0" w:color="000000"/>
            </w:tcBorders>
            <w:tcMar>
              <w:top w:w="0" w:type="dxa"/>
              <w:left w:w="120" w:type="dxa"/>
              <w:bottom w:w="0" w:type="dxa"/>
              <w:right w:w="100" w:type="dxa"/>
            </w:tcMar>
          </w:tcPr>
          <w:p w:rsidR="00A8286B" w:rsidRDefault="00773F67">
            <w:pPr>
              <w:keepNext/>
              <w:spacing w:before="240" w:after="120" w:line="276" w:lineRule="auto"/>
              <w:ind w:left="40"/>
              <w:rPr>
                <w:rFonts w:ascii="Arial" w:eastAsia="Arial" w:hAnsi="Arial" w:cs="Arial"/>
                <w:sz w:val="24"/>
                <w:szCs w:val="24"/>
              </w:rPr>
            </w:pPr>
            <w:r>
              <w:rPr>
                <w:rFonts w:ascii="Arial" w:eastAsia="Arial" w:hAnsi="Arial" w:cs="Arial"/>
                <w:sz w:val="24"/>
                <w:szCs w:val="24"/>
              </w:rPr>
              <w:t>[T&amp;M]</w:t>
            </w:r>
          </w:p>
        </w:tc>
        <w:tc>
          <w:tcPr>
            <w:tcW w:w="3072" w:type="dxa"/>
            <w:tcBorders>
              <w:top w:val="nil"/>
              <w:left w:val="nil"/>
              <w:bottom w:val="single" w:sz="6" w:space="0" w:color="000000"/>
              <w:right w:val="single" w:sz="6" w:space="0" w:color="000000"/>
            </w:tcBorders>
            <w:tcMar>
              <w:top w:w="0" w:type="dxa"/>
              <w:left w:w="120" w:type="dxa"/>
              <w:bottom w:w="0" w:type="dxa"/>
              <w:right w:w="100" w:type="dxa"/>
            </w:tcMar>
          </w:tcPr>
          <w:p w:rsidR="00A8286B" w:rsidRDefault="00773F67">
            <w:pPr>
              <w:keepNext/>
              <w:spacing w:before="240" w:after="120" w:line="276" w:lineRule="auto"/>
              <w:ind w:left="40"/>
              <w:rPr>
                <w:rFonts w:ascii="Arial" w:eastAsia="Arial" w:hAnsi="Arial" w:cs="Arial"/>
                <w:sz w:val="24"/>
                <w:szCs w:val="24"/>
              </w:rPr>
            </w:pPr>
            <w:r>
              <w:rPr>
                <w:rFonts w:ascii="Arial" w:eastAsia="Arial" w:hAnsi="Arial" w:cs="Arial"/>
                <w:sz w:val="24"/>
                <w:szCs w:val="24"/>
              </w:rPr>
              <w:t>[T&amp;M]</w:t>
            </w:r>
          </w:p>
        </w:tc>
      </w:tr>
      <w:tr w:rsidR="00A8286B">
        <w:tc>
          <w:tcPr>
            <w:tcW w:w="2994" w:type="dxa"/>
            <w:tcBorders>
              <w:top w:val="nil"/>
              <w:left w:val="single" w:sz="6" w:space="0" w:color="000000"/>
              <w:bottom w:val="single" w:sz="6" w:space="0" w:color="000000"/>
              <w:right w:val="single" w:sz="6" w:space="0" w:color="000000"/>
            </w:tcBorders>
            <w:tcMar>
              <w:top w:w="40" w:type="dxa"/>
              <w:left w:w="40" w:type="dxa"/>
              <w:bottom w:w="40" w:type="dxa"/>
              <w:right w:w="40" w:type="dxa"/>
            </w:tcMar>
          </w:tcPr>
          <w:p w:rsidR="00A8286B" w:rsidRDefault="00773F67">
            <w:pPr>
              <w:keepNext/>
              <w:spacing w:before="240"/>
              <w:ind w:left="141"/>
              <w:rPr>
                <w:rFonts w:ascii="Arial" w:eastAsia="Arial" w:hAnsi="Arial" w:cs="Arial"/>
                <w:sz w:val="24"/>
                <w:szCs w:val="24"/>
              </w:rPr>
            </w:pPr>
            <w:r>
              <w:rPr>
                <w:rFonts w:ascii="Arial" w:eastAsia="Arial" w:hAnsi="Arial" w:cs="Arial"/>
                <w:sz w:val="24"/>
                <w:szCs w:val="24"/>
              </w:rPr>
              <w:t>Principal Consultant / Associate Director</w:t>
            </w:r>
          </w:p>
        </w:tc>
        <w:tc>
          <w:tcPr>
            <w:tcW w:w="3072" w:type="dxa"/>
            <w:tcBorders>
              <w:top w:val="nil"/>
              <w:left w:val="nil"/>
              <w:bottom w:val="single" w:sz="6" w:space="0" w:color="000000"/>
              <w:right w:val="single" w:sz="6" w:space="0" w:color="000000"/>
            </w:tcBorders>
            <w:tcMar>
              <w:top w:w="0" w:type="dxa"/>
              <w:left w:w="120" w:type="dxa"/>
              <w:bottom w:w="0" w:type="dxa"/>
              <w:right w:w="100" w:type="dxa"/>
            </w:tcMar>
          </w:tcPr>
          <w:p w:rsidR="00A8286B" w:rsidRDefault="00773F67">
            <w:pPr>
              <w:keepNext/>
              <w:spacing w:before="240" w:after="120" w:line="276" w:lineRule="auto"/>
              <w:ind w:left="40"/>
              <w:rPr>
                <w:rFonts w:ascii="Arial" w:eastAsia="Arial" w:hAnsi="Arial" w:cs="Arial"/>
                <w:sz w:val="24"/>
                <w:szCs w:val="24"/>
              </w:rPr>
            </w:pPr>
            <w:r>
              <w:rPr>
                <w:rFonts w:ascii="Arial" w:eastAsia="Arial" w:hAnsi="Arial" w:cs="Arial"/>
                <w:sz w:val="24"/>
                <w:szCs w:val="24"/>
              </w:rPr>
              <w:t>[T&amp;M]</w:t>
            </w:r>
          </w:p>
        </w:tc>
        <w:tc>
          <w:tcPr>
            <w:tcW w:w="3072" w:type="dxa"/>
            <w:tcBorders>
              <w:top w:val="nil"/>
              <w:left w:val="nil"/>
              <w:bottom w:val="single" w:sz="6" w:space="0" w:color="000000"/>
              <w:right w:val="single" w:sz="6" w:space="0" w:color="000000"/>
            </w:tcBorders>
            <w:tcMar>
              <w:top w:w="0" w:type="dxa"/>
              <w:left w:w="120" w:type="dxa"/>
              <w:bottom w:w="0" w:type="dxa"/>
              <w:right w:w="100" w:type="dxa"/>
            </w:tcMar>
          </w:tcPr>
          <w:p w:rsidR="00A8286B" w:rsidRDefault="00773F67">
            <w:pPr>
              <w:keepNext/>
              <w:spacing w:before="240" w:after="120" w:line="276" w:lineRule="auto"/>
              <w:ind w:left="40"/>
              <w:rPr>
                <w:rFonts w:ascii="Arial" w:eastAsia="Arial" w:hAnsi="Arial" w:cs="Arial"/>
                <w:sz w:val="24"/>
                <w:szCs w:val="24"/>
              </w:rPr>
            </w:pPr>
            <w:r>
              <w:rPr>
                <w:rFonts w:ascii="Arial" w:eastAsia="Arial" w:hAnsi="Arial" w:cs="Arial"/>
                <w:sz w:val="24"/>
                <w:szCs w:val="24"/>
              </w:rPr>
              <w:t>[T&amp;M]</w:t>
            </w:r>
          </w:p>
        </w:tc>
      </w:tr>
      <w:tr w:rsidR="00A8286B">
        <w:tc>
          <w:tcPr>
            <w:tcW w:w="2994" w:type="dxa"/>
            <w:tcBorders>
              <w:top w:val="nil"/>
              <w:left w:val="single" w:sz="6" w:space="0" w:color="000000"/>
              <w:bottom w:val="single" w:sz="6" w:space="0" w:color="000000"/>
              <w:right w:val="single" w:sz="6" w:space="0" w:color="000000"/>
            </w:tcBorders>
            <w:tcMar>
              <w:top w:w="40" w:type="dxa"/>
              <w:left w:w="40" w:type="dxa"/>
              <w:bottom w:w="40" w:type="dxa"/>
              <w:right w:w="40" w:type="dxa"/>
            </w:tcMar>
          </w:tcPr>
          <w:p w:rsidR="00A8286B" w:rsidRDefault="00773F67">
            <w:pPr>
              <w:keepNext/>
              <w:spacing w:before="240"/>
              <w:ind w:left="141"/>
              <w:rPr>
                <w:rFonts w:ascii="Arial" w:eastAsia="Arial" w:hAnsi="Arial" w:cs="Arial"/>
                <w:sz w:val="24"/>
                <w:szCs w:val="24"/>
              </w:rPr>
            </w:pPr>
            <w:r>
              <w:rPr>
                <w:rFonts w:ascii="Arial" w:eastAsia="Arial" w:hAnsi="Arial" w:cs="Arial"/>
                <w:sz w:val="24"/>
                <w:szCs w:val="24"/>
              </w:rPr>
              <w:t>Senior Consultant / Engagement Manager / Project Lead</w:t>
            </w:r>
          </w:p>
        </w:tc>
        <w:tc>
          <w:tcPr>
            <w:tcW w:w="3072" w:type="dxa"/>
            <w:tcBorders>
              <w:top w:val="nil"/>
              <w:left w:val="nil"/>
              <w:bottom w:val="single" w:sz="6" w:space="0" w:color="000000"/>
              <w:right w:val="single" w:sz="6" w:space="0" w:color="000000"/>
            </w:tcBorders>
            <w:tcMar>
              <w:top w:w="0" w:type="dxa"/>
              <w:left w:w="120" w:type="dxa"/>
              <w:bottom w:w="0" w:type="dxa"/>
              <w:right w:w="100" w:type="dxa"/>
            </w:tcMar>
          </w:tcPr>
          <w:p w:rsidR="00A8286B" w:rsidRDefault="00773F67">
            <w:pPr>
              <w:keepNext/>
              <w:spacing w:before="240" w:after="120" w:line="276" w:lineRule="auto"/>
              <w:ind w:left="40"/>
              <w:rPr>
                <w:rFonts w:ascii="Arial" w:eastAsia="Arial" w:hAnsi="Arial" w:cs="Arial"/>
                <w:sz w:val="24"/>
                <w:szCs w:val="24"/>
              </w:rPr>
            </w:pPr>
            <w:r>
              <w:rPr>
                <w:rFonts w:ascii="Arial" w:eastAsia="Arial" w:hAnsi="Arial" w:cs="Arial"/>
                <w:sz w:val="24"/>
                <w:szCs w:val="24"/>
              </w:rPr>
              <w:t>[T&amp;M]</w:t>
            </w:r>
          </w:p>
        </w:tc>
        <w:tc>
          <w:tcPr>
            <w:tcW w:w="3072" w:type="dxa"/>
            <w:tcBorders>
              <w:top w:val="nil"/>
              <w:left w:val="nil"/>
              <w:bottom w:val="single" w:sz="6" w:space="0" w:color="000000"/>
              <w:right w:val="single" w:sz="6" w:space="0" w:color="000000"/>
            </w:tcBorders>
            <w:tcMar>
              <w:top w:w="0" w:type="dxa"/>
              <w:left w:w="120" w:type="dxa"/>
              <w:bottom w:w="0" w:type="dxa"/>
              <w:right w:w="100" w:type="dxa"/>
            </w:tcMar>
          </w:tcPr>
          <w:p w:rsidR="00A8286B" w:rsidRDefault="00773F67">
            <w:pPr>
              <w:keepNext/>
              <w:spacing w:before="240" w:after="120" w:line="276" w:lineRule="auto"/>
              <w:ind w:left="40"/>
              <w:rPr>
                <w:rFonts w:ascii="Arial" w:eastAsia="Arial" w:hAnsi="Arial" w:cs="Arial"/>
                <w:sz w:val="24"/>
                <w:szCs w:val="24"/>
              </w:rPr>
            </w:pPr>
            <w:r>
              <w:rPr>
                <w:rFonts w:ascii="Arial" w:eastAsia="Arial" w:hAnsi="Arial" w:cs="Arial"/>
                <w:sz w:val="24"/>
                <w:szCs w:val="24"/>
              </w:rPr>
              <w:t>[T&amp;M]</w:t>
            </w:r>
          </w:p>
        </w:tc>
      </w:tr>
      <w:tr w:rsidR="00A8286B">
        <w:tc>
          <w:tcPr>
            <w:tcW w:w="2994" w:type="dxa"/>
            <w:tcBorders>
              <w:top w:val="nil"/>
              <w:left w:val="single" w:sz="6" w:space="0" w:color="000000"/>
              <w:bottom w:val="single" w:sz="6" w:space="0" w:color="000000"/>
              <w:right w:val="single" w:sz="6" w:space="0" w:color="000000"/>
            </w:tcBorders>
            <w:tcMar>
              <w:top w:w="40" w:type="dxa"/>
              <w:left w:w="40" w:type="dxa"/>
              <w:bottom w:w="40" w:type="dxa"/>
              <w:right w:w="40" w:type="dxa"/>
            </w:tcMar>
          </w:tcPr>
          <w:p w:rsidR="00A8286B" w:rsidRDefault="00773F67">
            <w:pPr>
              <w:keepNext/>
              <w:spacing w:before="240"/>
              <w:ind w:left="141"/>
              <w:rPr>
                <w:rFonts w:ascii="Arial" w:eastAsia="Arial" w:hAnsi="Arial" w:cs="Arial"/>
                <w:sz w:val="24"/>
                <w:szCs w:val="24"/>
              </w:rPr>
            </w:pPr>
            <w:r>
              <w:rPr>
                <w:rFonts w:ascii="Arial" w:eastAsia="Arial" w:hAnsi="Arial" w:cs="Arial"/>
                <w:sz w:val="24"/>
                <w:szCs w:val="24"/>
              </w:rPr>
              <w:t>Consultant</w:t>
            </w:r>
          </w:p>
        </w:tc>
        <w:tc>
          <w:tcPr>
            <w:tcW w:w="3072" w:type="dxa"/>
            <w:tcBorders>
              <w:top w:val="nil"/>
              <w:left w:val="nil"/>
              <w:bottom w:val="single" w:sz="6" w:space="0" w:color="000000"/>
              <w:right w:val="single" w:sz="6" w:space="0" w:color="000000"/>
            </w:tcBorders>
            <w:tcMar>
              <w:top w:w="0" w:type="dxa"/>
              <w:left w:w="120" w:type="dxa"/>
              <w:bottom w:w="0" w:type="dxa"/>
              <w:right w:w="100" w:type="dxa"/>
            </w:tcMar>
          </w:tcPr>
          <w:p w:rsidR="00A8286B" w:rsidRDefault="00773F67">
            <w:pPr>
              <w:keepNext/>
              <w:spacing w:before="240" w:after="120" w:line="276" w:lineRule="auto"/>
              <w:ind w:left="40"/>
              <w:rPr>
                <w:rFonts w:ascii="Arial" w:eastAsia="Arial" w:hAnsi="Arial" w:cs="Arial"/>
                <w:sz w:val="24"/>
                <w:szCs w:val="24"/>
              </w:rPr>
            </w:pPr>
            <w:r>
              <w:rPr>
                <w:rFonts w:ascii="Arial" w:eastAsia="Arial" w:hAnsi="Arial" w:cs="Arial"/>
                <w:sz w:val="24"/>
                <w:szCs w:val="24"/>
              </w:rPr>
              <w:t>[T&amp;M]</w:t>
            </w:r>
          </w:p>
        </w:tc>
        <w:tc>
          <w:tcPr>
            <w:tcW w:w="3072" w:type="dxa"/>
            <w:tcBorders>
              <w:top w:val="nil"/>
              <w:left w:val="nil"/>
              <w:bottom w:val="single" w:sz="6" w:space="0" w:color="000000"/>
              <w:right w:val="single" w:sz="6" w:space="0" w:color="000000"/>
            </w:tcBorders>
            <w:tcMar>
              <w:top w:w="0" w:type="dxa"/>
              <w:left w:w="120" w:type="dxa"/>
              <w:bottom w:w="0" w:type="dxa"/>
              <w:right w:w="100" w:type="dxa"/>
            </w:tcMar>
          </w:tcPr>
          <w:p w:rsidR="00A8286B" w:rsidRDefault="00773F67">
            <w:pPr>
              <w:keepNext/>
              <w:spacing w:before="240" w:after="120" w:line="276" w:lineRule="auto"/>
              <w:ind w:left="40"/>
              <w:rPr>
                <w:rFonts w:ascii="Arial" w:eastAsia="Arial" w:hAnsi="Arial" w:cs="Arial"/>
                <w:sz w:val="24"/>
                <w:szCs w:val="24"/>
              </w:rPr>
            </w:pPr>
            <w:r>
              <w:rPr>
                <w:rFonts w:ascii="Arial" w:eastAsia="Arial" w:hAnsi="Arial" w:cs="Arial"/>
                <w:sz w:val="24"/>
                <w:szCs w:val="24"/>
              </w:rPr>
              <w:t>[T&amp;M]</w:t>
            </w:r>
          </w:p>
        </w:tc>
      </w:tr>
      <w:tr w:rsidR="00A8286B">
        <w:tc>
          <w:tcPr>
            <w:tcW w:w="2994" w:type="dxa"/>
            <w:tcBorders>
              <w:top w:val="nil"/>
              <w:left w:val="single" w:sz="6" w:space="0" w:color="000000"/>
              <w:bottom w:val="single" w:sz="6" w:space="0" w:color="000000"/>
              <w:right w:val="single" w:sz="6" w:space="0" w:color="000000"/>
            </w:tcBorders>
            <w:tcMar>
              <w:top w:w="40" w:type="dxa"/>
              <w:left w:w="40" w:type="dxa"/>
              <w:bottom w:w="40" w:type="dxa"/>
              <w:right w:w="40" w:type="dxa"/>
            </w:tcMar>
          </w:tcPr>
          <w:p w:rsidR="00A8286B" w:rsidRDefault="00773F67">
            <w:pPr>
              <w:keepNext/>
              <w:spacing w:before="240"/>
              <w:ind w:left="141"/>
              <w:rPr>
                <w:rFonts w:ascii="Arial" w:eastAsia="Arial" w:hAnsi="Arial" w:cs="Arial"/>
                <w:sz w:val="24"/>
                <w:szCs w:val="24"/>
              </w:rPr>
            </w:pPr>
            <w:r>
              <w:rPr>
                <w:rFonts w:ascii="Arial" w:eastAsia="Arial" w:hAnsi="Arial" w:cs="Arial"/>
                <w:sz w:val="24"/>
                <w:szCs w:val="24"/>
              </w:rPr>
              <w:t>Analyst / Junior Consultant</w:t>
            </w:r>
          </w:p>
        </w:tc>
        <w:tc>
          <w:tcPr>
            <w:tcW w:w="3072" w:type="dxa"/>
            <w:tcBorders>
              <w:top w:val="nil"/>
              <w:left w:val="nil"/>
              <w:bottom w:val="single" w:sz="6" w:space="0" w:color="000000"/>
              <w:right w:val="single" w:sz="6" w:space="0" w:color="000000"/>
            </w:tcBorders>
            <w:tcMar>
              <w:top w:w="0" w:type="dxa"/>
              <w:left w:w="120" w:type="dxa"/>
              <w:bottom w:w="0" w:type="dxa"/>
              <w:right w:w="100" w:type="dxa"/>
            </w:tcMar>
          </w:tcPr>
          <w:p w:rsidR="00A8286B" w:rsidRDefault="00773F67">
            <w:pPr>
              <w:keepNext/>
              <w:spacing w:before="240" w:after="120" w:line="276" w:lineRule="auto"/>
              <w:ind w:left="40"/>
              <w:rPr>
                <w:rFonts w:ascii="Arial" w:eastAsia="Arial" w:hAnsi="Arial" w:cs="Arial"/>
                <w:sz w:val="24"/>
                <w:szCs w:val="24"/>
              </w:rPr>
            </w:pPr>
            <w:r>
              <w:rPr>
                <w:rFonts w:ascii="Arial" w:eastAsia="Arial" w:hAnsi="Arial" w:cs="Arial"/>
                <w:sz w:val="24"/>
                <w:szCs w:val="24"/>
              </w:rPr>
              <w:t>[T&amp;M]</w:t>
            </w:r>
          </w:p>
        </w:tc>
        <w:tc>
          <w:tcPr>
            <w:tcW w:w="3072" w:type="dxa"/>
            <w:tcBorders>
              <w:top w:val="nil"/>
              <w:left w:val="nil"/>
              <w:bottom w:val="single" w:sz="6" w:space="0" w:color="000000"/>
              <w:right w:val="single" w:sz="6" w:space="0" w:color="000000"/>
            </w:tcBorders>
            <w:tcMar>
              <w:top w:w="0" w:type="dxa"/>
              <w:left w:w="120" w:type="dxa"/>
              <w:bottom w:w="0" w:type="dxa"/>
              <w:right w:w="100" w:type="dxa"/>
            </w:tcMar>
          </w:tcPr>
          <w:p w:rsidR="00A8286B" w:rsidRDefault="00773F67">
            <w:pPr>
              <w:keepNext/>
              <w:spacing w:before="240" w:after="120" w:line="276" w:lineRule="auto"/>
              <w:ind w:left="40"/>
              <w:rPr>
                <w:rFonts w:ascii="Arial" w:eastAsia="Arial" w:hAnsi="Arial" w:cs="Arial"/>
                <w:sz w:val="24"/>
                <w:szCs w:val="24"/>
              </w:rPr>
            </w:pPr>
            <w:r>
              <w:rPr>
                <w:rFonts w:ascii="Arial" w:eastAsia="Arial" w:hAnsi="Arial" w:cs="Arial"/>
                <w:sz w:val="24"/>
                <w:szCs w:val="24"/>
              </w:rPr>
              <w:t>[T&amp;M]</w:t>
            </w:r>
          </w:p>
        </w:tc>
      </w:tr>
    </w:tbl>
    <w:p w:rsidR="00A8286B" w:rsidRDefault="00773F67">
      <w:pPr>
        <w:spacing w:before="240" w:after="120" w:line="240" w:lineRule="auto"/>
        <w:rPr>
          <w:rFonts w:ascii="Arial" w:eastAsia="Arial" w:hAnsi="Arial" w:cs="Arial"/>
          <w:sz w:val="24"/>
          <w:szCs w:val="24"/>
        </w:rPr>
      </w:pPr>
      <w:r>
        <w:rPr>
          <w:rFonts w:ascii="Arial" w:eastAsia="Arial" w:hAnsi="Arial" w:cs="Arial"/>
          <w:sz w:val="24"/>
          <w:szCs w:val="24"/>
        </w:rPr>
        <w:t>Lot 10</w:t>
      </w:r>
    </w:p>
    <w:sdt>
      <w:sdtPr>
        <w:tag w:val="goog_rdk_0"/>
        <w:id w:val="860859835"/>
        <w:lock w:val="contentLocked"/>
      </w:sdtPr>
      <w:sdtEndPr/>
      <w:sdtContent>
        <w:tbl>
          <w:tblPr>
            <w:tblStyle w:val="a5"/>
            <w:tblW w:w="9140" w:type="dxa"/>
            <w:tblInd w:w="-11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994"/>
            <w:gridCol w:w="3073"/>
            <w:gridCol w:w="3073"/>
          </w:tblGrid>
          <w:tr w:rsidR="00A8286B">
            <w:tc>
              <w:tcPr>
                <w:tcW w:w="2994" w:type="dxa"/>
                <w:shd w:val="clear" w:color="auto" w:fill="548DD4"/>
              </w:tcPr>
              <w:p w:rsidR="00A8286B" w:rsidRDefault="00773F67">
                <w:pPr>
                  <w:keepNext/>
                  <w:spacing w:before="240" w:after="120"/>
                  <w:ind w:left="142"/>
                  <w:rPr>
                    <w:rFonts w:ascii="Arial" w:eastAsia="Arial" w:hAnsi="Arial" w:cs="Arial"/>
                    <w:b/>
                    <w:sz w:val="24"/>
                    <w:szCs w:val="24"/>
                  </w:rPr>
                </w:pPr>
                <w:r>
                  <w:rPr>
                    <w:rFonts w:ascii="Arial" w:eastAsia="Arial" w:hAnsi="Arial" w:cs="Arial"/>
                    <w:b/>
                    <w:sz w:val="24"/>
                    <w:szCs w:val="24"/>
                  </w:rPr>
                  <w:t>Staff Grade</w:t>
                </w:r>
              </w:p>
            </w:tc>
            <w:tc>
              <w:tcPr>
                <w:tcW w:w="3072" w:type="dxa"/>
                <w:shd w:val="clear" w:color="auto" w:fill="548DD4"/>
              </w:tcPr>
              <w:p w:rsidR="00A8286B" w:rsidRDefault="00773F67">
                <w:pPr>
                  <w:keepNext/>
                  <w:spacing w:before="240" w:after="120"/>
                  <w:ind w:left="142"/>
                  <w:rPr>
                    <w:rFonts w:ascii="Arial" w:eastAsia="Arial" w:hAnsi="Arial" w:cs="Arial"/>
                    <w:b/>
                    <w:sz w:val="24"/>
                    <w:szCs w:val="24"/>
                  </w:rPr>
                </w:pPr>
                <w:r>
                  <w:rPr>
                    <w:rFonts w:ascii="Arial" w:eastAsia="Arial" w:hAnsi="Arial" w:cs="Arial"/>
                    <w:b/>
                    <w:sz w:val="24"/>
                    <w:szCs w:val="24"/>
                  </w:rPr>
                  <w:t>Complex Day Rate (£)</w:t>
                </w:r>
              </w:p>
            </w:tc>
            <w:tc>
              <w:tcPr>
                <w:tcW w:w="3072" w:type="dxa"/>
                <w:shd w:val="clear" w:color="auto" w:fill="548DD4"/>
              </w:tcPr>
              <w:p w:rsidR="00A8286B" w:rsidRDefault="00773F67">
                <w:pPr>
                  <w:keepNext/>
                  <w:spacing w:before="240" w:after="120"/>
                  <w:ind w:left="142"/>
                  <w:rPr>
                    <w:rFonts w:ascii="Arial" w:eastAsia="Arial" w:hAnsi="Arial" w:cs="Arial"/>
                    <w:b/>
                    <w:sz w:val="24"/>
                    <w:szCs w:val="24"/>
                  </w:rPr>
                </w:pPr>
                <w:r>
                  <w:rPr>
                    <w:rFonts w:ascii="Arial" w:eastAsia="Arial" w:hAnsi="Arial" w:cs="Arial"/>
                    <w:b/>
                    <w:sz w:val="24"/>
                    <w:szCs w:val="24"/>
                  </w:rPr>
                  <w:t>Non Complex Day Rate (£)</w:t>
                </w:r>
              </w:p>
            </w:tc>
          </w:tr>
          <w:tr w:rsidR="00A8286B">
            <w:tc>
              <w:tcPr>
                <w:tcW w:w="299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00" w:type="dxa"/>
                </w:tcMar>
              </w:tcPr>
              <w:p w:rsidR="00A8286B" w:rsidRDefault="00773F67">
                <w:pPr>
                  <w:keepNext/>
                  <w:spacing w:before="240" w:after="120" w:line="276" w:lineRule="auto"/>
                  <w:rPr>
                    <w:rFonts w:ascii="Arial" w:eastAsia="Arial" w:hAnsi="Arial" w:cs="Arial"/>
                    <w:sz w:val="24"/>
                    <w:szCs w:val="24"/>
                  </w:rPr>
                </w:pPr>
                <w:r>
                  <w:rPr>
                    <w:rFonts w:ascii="Arial" w:eastAsia="Arial" w:hAnsi="Arial" w:cs="Arial"/>
                    <w:sz w:val="24"/>
                    <w:szCs w:val="24"/>
                  </w:rPr>
                  <w:t>Partner</w:t>
                </w:r>
              </w:p>
            </w:tc>
            <w:tc>
              <w:tcPr>
                <w:tcW w:w="3072" w:type="dxa"/>
                <w:tcBorders>
                  <w:top w:val="single" w:sz="6" w:space="0" w:color="000000"/>
                  <w:left w:val="nil"/>
                  <w:bottom w:val="single" w:sz="6" w:space="0" w:color="000000"/>
                  <w:right w:val="single" w:sz="6" w:space="0" w:color="000000"/>
                </w:tcBorders>
                <w:tcMar>
                  <w:top w:w="0" w:type="dxa"/>
                  <w:left w:w="120" w:type="dxa"/>
                  <w:bottom w:w="0" w:type="dxa"/>
                  <w:right w:w="100" w:type="dxa"/>
                </w:tcMar>
              </w:tcPr>
              <w:p w:rsidR="00A8286B" w:rsidRDefault="00773F67">
                <w:pPr>
                  <w:keepNext/>
                  <w:spacing w:before="240" w:after="120" w:line="276" w:lineRule="auto"/>
                  <w:ind w:left="40"/>
                  <w:rPr>
                    <w:rFonts w:ascii="Arial" w:eastAsia="Arial" w:hAnsi="Arial" w:cs="Arial"/>
                    <w:sz w:val="24"/>
                    <w:szCs w:val="24"/>
                  </w:rPr>
                </w:pPr>
                <w:r>
                  <w:rPr>
                    <w:rFonts w:ascii="Arial" w:eastAsia="Arial" w:hAnsi="Arial" w:cs="Arial"/>
                    <w:sz w:val="24"/>
                    <w:szCs w:val="24"/>
                  </w:rPr>
                  <w:t>[T&amp;M]</w:t>
                </w:r>
              </w:p>
            </w:tc>
            <w:tc>
              <w:tcPr>
                <w:tcW w:w="3072" w:type="dxa"/>
                <w:tcBorders>
                  <w:top w:val="single" w:sz="6" w:space="0" w:color="000000"/>
                  <w:left w:val="nil"/>
                  <w:bottom w:val="single" w:sz="6" w:space="0" w:color="000000"/>
                  <w:right w:val="single" w:sz="6" w:space="0" w:color="000000"/>
                </w:tcBorders>
                <w:tcMar>
                  <w:top w:w="0" w:type="dxa"/>
                  <w:left w:w="120" w:type="dxa"/>
                  <w:bottom w:w="0" w:type="dxa"/>
                  <w:right w:w="100" w:type="dxa"/>
                </w:tcMar>
              </w:tcPr>
              <w:p w:rsidR="00A8286B" w:rsidRDefault="00773F67">
                <w:pPr>
                  <w:keepNext/>
                  <w:spacing w:before="240" w:after="120" w:line="276" w:lineRule="auto"/>
                  <w:ind w:left="40"/>
                  <w:rPr>
                    <w:rFonts w:ascii="Arial" w:eastAsia="Arial" w:hAnsi="Arial" w:cs="Arial"/>
                    <w:sz w:val="24"/>
                    <w:szCs w:val="24"/>
                  </w:rPr>
                </w:pPr>
                <w:r>
                  <w:rPr>
                    <w:rFonts w:ascii="Arial" w:eastAsia="Arial" w:hAnsi="Arial" w:cs="Arial"/>
                    <w:sz w:val="24"/>
                    <w:szCs w:val="24"/>
                  </w:rPr>
                  <w:t>[T&amp;M]</w:t>
                </w:r>
              </w:p>
            </w:tc>
          </w:tr>
          <w:tr w:rsidR="00A8286B">
            <w:tc>
              <w:tcPr>
                <w:tcW w:w="2994" w:type="dxa"/>
                <w:tcBorders>
                  <w:top w:val="nil"/>
                  <w:left w:val="single" w:sz="6" w:space="0" w:color="000000"/>
                  <w:bottom w:val="single" w:sz="6" w:space="0" w:color="000000"/>
                  <w:right w:val="single" w:sz="6" w:space="0" w:color="000000"/>
                </w:tcBorders>
                <w:tcMar>
                  <w:top w:w="40" w:type="dxa"/>
                  <w:left w:w="40" w:type="dxa"/>
                  <w:bottom w:w="40" w:type="dxa"/>
                  <w:right w:w="40" w:type="dxa"/>
                </w:tcMar>
              </w:tcPr>
              <w:p w:rsidR="00A8286B" w:rsidRDefault="00773F67">
                <w:pPr>
                  <w:keepNext/>
                  <w:spacing w:before="240"/>
                  <w:ind w:left="141"/>
                  <w:rPr>
                    <w:rFonts w:ascii="Arial" w:eastAsia="Arial" w:hAnsi="Arial" w:cs="Arial"/>
                    <w:sz w:val="24"/>
                    <w:szCs w:val="24"/>
                  </w:rPr>
                </w:pPr>
                <w:r>
                  <w:rPr>
                    <w:rFonts w:ascii="Arial" w:eastAsia="Arial" w:hAnsi="Arial" w:cs="Arial"/>
                    <w:sz w:val="24"/>
                    <w:szCs w:val="24"/>
                  </w:rPr>
                  <w:t>Managing Consultant / Director</w:t>
                </w:r>
              </w:p>
            </w:tc>
            <w:tc>
              <w:tcPr>
                <w:tcW w:w="3072" w:type="dxa"/>
                <w:tcBorders>
                  <w:top w:val="nil"/>
                  <w:left w:val="nil"/>
                  <w:bottom w:val="single" w:sz="6" w:space="0" w:color="000000"/>
                  <w:right w:val="single" w:sz="6" w:space="0" w:color="000000"/>
                </w:tcBorders>
                <w:tcMar>
                  <w:top w:w="0" w:type="dxa"/>
                  <w:left w:w="120" w:type="dxa"/>
                  <w:bottom w:w="0" w:type="dxa"/>
                  <w:right w:w="100" w:type="dxa"/>
                </w:tcMar>
              </w:tcPr>
              <w:p w:rsidR="00A8286B" w:rsidRDefault="00773F67">
                <w:pPr>
                  <w:keepNext/>
                  <w:spacing w:before="240" w:after="120" w:line="276" w:lineRule="auto"/>
                  <w:ind w:left="40"/>
                  <w:rPr>
                    <w:rFonts w:ascii="Arial" w:eastAsia="Arial" w:hAnsi="Arial" w:cs="Arial"/>
                    <w:sz w:val="24"/>
                    <w:szCs w:val="24"/>
                  </w:rPr>
                </w:pPr>
                <w:r>
                  <w:rPr>
                    <w:rFonts w:ascii="Arial" w:eastAsia="Arial" w:hAnsi="Arial" w:cs="Arial"/>
                    <w:sz w:val="24"/>
                    <w:szCs w:val="24"/>
                  </w:rPr>
                  <w:t>[T&amp;M]</w:t>
                </w:r>
              </w:p>
            </w:tc>
            <w:tc>
              <w:tcPr>
                <w:tcW w:w="3072" w:type="dxa"/>
                <w:tcBorders>
                  <w:top w:val="nil"/>
                  <w:left w:val="nil"/>
                  <w:bottom w:val="single" w:sz="6" w:space="0" w:color="000000"/>
                  <w:right w:val="single" w:sz="6" w:space="0" w:color="000000"/>
                </w:tcBorders>
                <w:tcMar>
                  <w:top w:w="0" w:type="dxa"/>
                  <w:left w:w="120" w:type="dxa"/>
                  <w:bottom w:w="0" w:type="dxa"/>
                  <w:right w:w="100" w:type="dxa"/>
                </w:tcMar>
              </w:tcPr>
              <w:p w:rsidR="00A8286B" w:rsidRDefault="00773F67">
                <w:pPr>
                  <w:keepNext/>
                  <w:spacing w:before="240" w:after="120" w:line="276" w:lineRule="auto"/>
                  <w:ind w:left="40"/>
                  <w:rPr>
                    <w:rFonts w:ascii="Arial" w:eastAsia="Arial" w:hAnsi="Arial" w:cs="Arial"/>
                    <w:sz w:val="24"/>
                    <w:szCs w:val="24"/>
                  </w:rPr>
                </w:pPr>
                <w:r>
                  <w:rPr>
                    <w:rFonts w:ascii="Arial" w:eastAsia="Arial" w:hAnsi="Arial" w:cs="Arial"/>
                    <w:sz w:val="24"/>
                    <w:szCs w:val="24"/>
                  </w:rPr>
                  <w:t>[T&amp;M]</w:t>
                </w:r>
              </w:p>
            </w:tc>
          </w:tr>
          <w:tr w:rsidR="00A8286B">
            <w:tc>
              <w:tcPr>
                <w:tcW w:w="2994" w:type="dxa"/>
                <w:tcBorders>
                  <w:top w:val="nil"/>
                  <w:left w:val="single" w:sz="6" w:space="0" w:color="000000"/>
                  <w:bottom w:val="single" w:sz="6" w:space="0" w:color="000000"/>
                  <w:right w:val="single" w:sz="6" w:space="0" w:color="000000"/>
                </w:tcBorders>
                <w:tcMar>
                  <w:top w:w="40" w:type="dxa"/>
                  <w:left w:w="40" w:type="dxa"/>
                  <w:bottom w:w="40" w:type="dxa"/>
                  <w:right w:w="40" w:type="dxa"/>
                </w:tcMar>
              </w:tcPr>
              <w:p w:rsidR="00A8286B" w:rsidRDefault="00773F67">
                <w:pPr>
                  <w:keepNext/>
                  <w:spacing w:before="240"/>
                  <w:ind w:left="141"/>
                  <w:rPr>
                    <w:rFonts w:ascii="Arial" w:eastAsia="Arial" w:hAnsi="Arial" w:cs="Arial"/>
                    <w:sz w:val="24"/>
                    <w:szCs w:val="24"/>
                  </w:rPr>
                </w:pPr>
                <w:r>
                  <w:rPr>
                    <w:rFonts w:ascii="Arial" w:eastAsia="Arial" w:hAnsi="Arial" w:cs="Arial"/>
                    <w:sz w:val="24"/>
                    <w:szCs w:val="24"/>
                  </w:rPr>
                  <w:t>Principal Consultant / Associate Director</w:t>
                </w:r>
              </w:p>
            </w:tc>
            <w:tc>
              <w:tcPr>
                <w:tcW w:w="3072" w:type="dxa"/>
                <w:tcBorders>
                  <w:top w:val="nil"/>
                  <w:left w:val="nil"/>
                  <w:bottom w:val="single" w:sz="6" w:space="0" w:color="000000"/>
                  <w:right w:val="single" w:sz="6" w:space="0" w:color="000000"/>
                </w:tcBorders>
                <w:tcMar>
                  <w:top w:w="0" w:type="dxa"/>
                  <w:left w:w="120" w:type="dxa"/>
                  <w:bottom w:w="0" w:type="dxa"/>
                  <w:right w:w="100" w:type="dxa"/>
                </w:tcMar>
              </w:tcPr>
              <w:p w:rsidR="00A8286B" w:rsidRDefault="00773F67">
                <w:pPr>
                  <w:keepNext/>
                  <w:spacing w:before="240" w:after="120" w:line="276" w:lineRule="auto"/>
                  <w:ind w:left="40"/>
                  <w:rPr>
                    <w:rFonts w:ascii="Arial" w:eastAsia="Arial" w:hAnsi="Arial" w:cs="Arial"/>
                    <w:sz w:val="24"/>
                    <w:szCs w:val="24"/>
                  </w:rPr>
                </w:pPr>
                <w:r>
                  <w:rPr>
                    <w:rFonts w:ascii="Arial" w:eastAsia="Arial" w:hAnsi="Arial" w:cs="Arial"/>
                    <w:sz w:val="24"/>
                    <w:szCs w:val="24"/>
                  </w:rPr>
                  <w:t>[T&amp;M]</w:t>
                </w:r>
              </w:p>
            </w:tc>
            <w:tc>
              <w:tcPr>
                <w:tcW w:w="3072" w:type="dxa"/>
                <w:tcBorders>
                  <w:top w:val="nil"/>
                  <w:left w:val="nil"/>
                  <w:bottom w:val="single" w:sz="6" w:space="0" w:color="000000"/>
                  <w:right w:val="single" w:sz="6" w:space="0" w:color="000000"/>
                </w:tcBorders>
                <w:tcMar>
                  <w:top w:w="0" w:type="dxa"/>
                  <w:left w:w="120" w:type="dxa"/>
                  <w:bottom w:w="0" w:type="dxa"/>
                  <w:right w:w="100" w:type="dxa"/>
                </w:tcMar>
              </w:tcPr>
              <w:p w:rsidR="00A8286B" w:rsidRDefault="00773F67">
                <w:pPr>
                  <w:keepNext/>
                  <w:spacing w:before="240" w:after="120" w:line="276" w:lineRule="auto"/>
                  <w:ind w:left="40"/>
                  <w:rPr>
                    <w:rFonts w:ascii="Arial" w:eastAsia="Arial" w:hAnsi="Arial" w:cs="Arial"/>
                    <w:sz w:val="24"/>
                    <w:szCs w:val="24"/>
                  </w:rPr>
                </w:pPr>
                <w:r>
                  <w:rPr>
                    <w:rFonts w:ascii="Arial" w:eastAsia="Arial" w:hAnsi="Arial" w:cs="Arial"/>
                    <w:sz w:val="24"/>
                    <w:szCs w:val="24"/>
                  </w:rPr>
                  <w:t>[T&amp;M]</w:t>
                </w:r>
              </w:p>
            </w:tc>
          </w:tr>
          <w:tr w:rsidR="00A8286B">
            <w:tc>
              <w:tcPr>
                <w:tcW w:w="2994" w:type="dxa"/>
                <w:tcBorders>
                  <w:top w:val="nil"/>
                  <w:left w:val="single" w:sz="6" w:space="0" w:color="000000"/>
                  <w:bottom w:val="single" w:sz="6" w:space="0" w:color="000000"/>
                  <w:right w:val="single" w:sz="6" w:space="0" w:color="000000"/>
                </w:tcBorders>
                <w:tcMar>
                  <w:top w:w="40" w:type="dxa"/>
                  <w:left w:w="40" w:type="dxa"/>
                  <w:bottom w:w="40" w:type="dxa"/>
                  <w:right w:w="40" w:type="dxa"/>
                </w:tcMar>
              </w:tcPr>
              <w:p w:rsidR="00A8286B" w:rsidRDefault="00773F67">
                <w:pPr>
                  <w:keepNext/>
                  <w:spacing w:before="240"/>
                  <w:ind w:left="141"/>
                  <w:rPr>
                    <w:rFonts w:ascii="Arial" w:eastAsia="Arial" w:hAnsi="Arial" w:cs="Arial"/>
                    <w:sz w:val="24"/>
                    <w:szCs w:val="24"/>
                  </w:rPr>
                </w:pPr>
                <w:r>
                  <w:rPr>
                    <w:rFonts w:ascii="Arial" w:eastAsia="Arial" w:hAnsi="Arial" w:cs="Arial"/>
                    <w:sz w:val="24"/>
                    <w:szCs w:val="24"/>
                  </w:rPr>
                  <w:t>Senior Consultant / Engagement Manager / Project Lead</w:t>
                </w:r>
              </w:p>
            </w:tc>
            <w:tc>
              <w:tcPr>
                <w:tcW w:w="3072" w:type="dxa"/>
                <w:tcBorders>
                  <w:top w:val="nil"/>
                  <w:left w:val="nil"/>
                  <w:bottom w:val="single" w:sz="6" w:space="0" w:color="000000"/>
                  <w:right w:val="single" w:sz="6" w:space="0" w:color="000000"/>
                </w:tcBorders>
                <w:tcMar>
                  <w:top w:w="0" w:type="dxa"/>
                  <w:left w:w="120" w:type="dxa"/>
                  <w:bottom w:w="0" w:type="dxa"/>
                  <w:right w:w="100" w:type="dxa"/>
                </w:tcMar>
              </w:tcPr>
              <w:p w:rsidR="00A8286B" w:rsidRDefault="00773F67">
                <w:pPr>
                  <w:keepNext/>
                  <w:spacing w:before="240" w:after="120" w:line="276" w:lineRule="auto"/>
                  <w:ind w:left="40"/>
                  <w:rPr>
                    <w:rFonts w:ascii="Arial" w:eastAsia="Arial" w:hAnsi="Arial" w:cs="Arial"/>
                    <w:sz w:val="24"/>
                    <w:szCs w:val="24"/>
                  </w:rPr>
                </w:pPr>
                <w:r>
                  <w:rPr>
                    <w:rFonts w:ascii="Arial" w:eastAsia="Arial" w:hAnsi="Arial" w:cs="Arial"/>
                    <w:sz w:val="24"/>
                    <w:szCs w:val="24"/>
                  </w:rPr>
                  <w:t>[T&amp;M]</w:t>
                </w:r>
              </w:p>
            </w:tc>
            <w:tc>
              <w:tcPr>
                <w:tcW w:w="3072" w:type="dxa"/>
                <w:tcBorders>
                  <w:top w:val="nil"/>
                  <w:left w:val="nil"/>
                  <w:bottom w:val="single" w:sz="6" w:space="0" w:color="000000"/>
                  <w:right w:val="single" w:sz="6" w:space="0" w:color="000000"/>
                </w:tcBorders>
                <w:tcMar>
                  <w:top w:w="0" w:type="dxa"/>
                  <w:left w:w="120" w:type="dxa"/>
                  <w:bottom w:w="0" w:type="dxa"/>
                  <w:right w:w="100" w:type="dxa"/>
                </w:tcMar>
              </w:tcPr>
              <w:p w:rsidR="00A8286B" w:rsidRDefault="00773F67">
                <w:pPr>
                  <w:keepNext/>
                  <w:spacing w:before="240" w:after="120" w:line="276" w:lineRule="auto"/>
                  <w:ind w:left="40"/>
                  <w:rPr>
                    <w:rFonts w:ascii="Arial" w:eastAsia="Arial" w:hAnsi="Arial" w:cs="Arial"/>
                    <w:sz w:val="24"/>
                    <w:szCs w:val="24"/>
                  </w:rPr>
                </w:pPr>
                <w:r>
                  <w:rPr>
                    <w:rFonts w:ascii="Arial" w:eastAsia="Arial" w:hAnsi="Arial" w:cs="Arial"/>
                    <w:sz w:val="24"/>
                    <w:szCs w:val="24"/>
                  </w:rPr>
                  <w:t>[T&amp;M]</w:t>
                </w:r>
              </w:p>
            </w:tc>
          </w:tr>
          <w:tr w:rsidR="00A8286B">
            <w:tc>
              <w:tcPr>
                <w:tcW w:w="2994" w:type="dxa"/>
                <w:tcBorders>
                  <w:top w:val="nil"/>
                  <w:left w:val="single" w:sz="6" w:space="0" w:color="000000"/>
                  <w:bottom w:val="single" w:sz="6" w:space="0" w:color="000000"/>
                  <w:right w:val="single" w:sz="6" w:space="0" w:color="000000"/>
                </w:tcBorders>
                <w:tcMar>
                  <w:top w:w="40" w:type="dxa"/>
                  <w:left w:w="40" w:type="dxa"/>
                  <w:bottom w:w="40" w:type="dxa"/>
                  <w:right w:w="40" w:type="dxa"/>
                </w:tcMar>
              </w:tcPr>
              <w:p w:rsidR="00A8286B" w:rsidRDefault="00773F67">
                <w:pPr>
                  <w:keepNext/>
                  <w:spacing w:before="240"/>
                  <w:ind w:left="141"/>
                  <w:rPr>
                    <w:rFonts w:ascii="Arial" w:eastAsia="Arial" w:hAnsi="Arial" w:cs="Arial"/>
                    <w:sz w:val="24"/>
                    <w:szCs w:val="24"/>
                  </w:rPr>
                </w:pPr>
                <w:r>
                  <w:rPr>
                    <w:rFonts w:ascii="Arial" w:eastAsia="Arial" w:hAnsi="Arial" w:cs="Arial"/>
                    <w:sz w:val="24"/>
                    <w:szCs w:val="24"/>
                  </w:rPr>
                  <w:t>Consultant</w:t>
                </w:r>
              </w:p>
            </w:tc>
            <w:tc>
              <w:tcPr>
                <w:tcW w:w="3072" w:type="dxa"/>
                <w:tcBorders>
                  <w:top w:val="nil"/>
                  <w:left w:val="nil"/>
                  <w:bottom w:val="single" w:sz="6" w:space="0" w:color="000000"/>
                  <w:right w:val="single" w:sz="6" w:space="0" w:color="000000"/>
                </w:tcBorders>
                <w:tcMar>
                  <w:top w:w="0" w:type="dxa"/>
                  <w:left w:w="120" w:type="dxa"/>
                  <w:bottom w:w="0" w:type="dxa"/>
                  <w:right w:w="100" w:type="dxa"/>
                </w:tcMar>
              </w:tcPr>
              <w:p w:rsidR="00A8286B" w:rsidRDefault="00773F67">
                <w:pPr>
                  <w:keepNext/>
                  <w:spacing w:before="240" w:after="120" w:line="276" w:lineRule="auto"/>
                  <w:ind w:left="40"/>
                  <w:rPr>
                    <w:rFonts w:ascii="Arial" w:eastAsia="Arial" w:hAnsi="Arial" w:cs="Arial"/>
                    <w:sz w:val="24"/>
                    <w:szCs w:val="24"/>
                  </w:rPr>
                </w:pPr>
                <w:r>
                  <w:rPr>
                    <w:rFonts w:ascii="Arial" w:eastAsia="Arial" w:hAnsi="Arial" w:cs="Arial"/>
                    <w:sz w:val="24"/>
                    <w:szCs w:val="24"/>
                  </w:rPr>
                  <w:t>[T&amp;M]</w:t>
                </w:r>
              </w:p>
            </w:tc>
            <w:tc>
              <w:tcPr>
                <w:tcW w:w="3072" w:type="dxa"/>
                <w:tcBorders>
                  <w:top w:val="nil"/>
                  <w:left w:val="nil"/>
                  <w:bottom w:val="single" w:sz="6" w:space="0" w:color="000000"/>
                  <w:right w:val="single" w:sz="6" w:space="0" w:color="000000"/>
                </w:tcBorders>
                <w:tcMar>
                  <w:top w:w="0" w:type="dxa"/>
                  <w:left w:w="120" w:type="dxa"/>
                  <w:bottom w:w="0" w:type="dxa"/>
                  <w:right w:w="100" w:type="dxa"/>
                </w:tcMar>
              </w:tcPr>
              <w:p w:rsidR="00A8286B" w:rsidRDefault="00773F67">
                <w:pPr>
                  <w:keepNext/>
                  <w:spacing w:before="240" w:after="120" w:line="276" w:lineRule="auto"/>
                  <w:ind w:left="40"/>
                  <w:rPr>
                    <w:rFonts w:ascii="Arial" w:eastAsia="Arial" w:hAnsi="Arial" w:cs="Arial"/>
                    <w:sz w:val="24"/>
                    <w:szCs w:val="24"/>
                  </w:rPr>
                </w:pPr>
                <w:r>
                  <w:rPr>
                    <w:rFonts w:ascii="Arial" w:eastAsia="Arial" w:hAnsi="Arial" w:cs="Arial"/>
                    <w:sz w:val="24"/>
                    <w:szCs w:val="24"/>
                  </w:rPr>
                  <w:t>[T&amp;M]</w:t>
                </w:r>
              </w:p>
            </w:tc>
          </w:tr>
          <w:tr w:rsidR="00A8286B">
            <w:tc>
              <w:tcPr>
                <w:tcW w:w="2994" w:type="dxa"/>
                <w:tcBorders>
                  <w:top w:val="nil"/>
                  <w:left w:val="single" w:sz="6" w:space="0" w:color="000000"/>
                  <w:bottom w:val="single" w:sz="6" w:space="0" w:color="000000"/>
                  <w:right w:val="single" w:sz="6" w:space="0" w:color="000000"/>
                </w:tcBorders>
                <w:tcMar>
                  <w:top w:w="40" w:type="dxa"/>
                  <w:left w:w="40" w:type="dxa"/>
                  <w:bottom w:w="40" w:type="dxa"/>
                  <w:right w:w="40" w:type="dxa"/>
                </w:tcMar>
              </w:tcPr>
              <w:p w:rsidR="00A8286B" w:rsidRDefault="00773F67">
                <w:pPr>
                  <w:keepNext/>
                  <w:spacing w:before="240"/>
                  <w:ind w:left="141"/>
                  <w:rPr>
                    <w:rFonts w:ascii="Arial" w:eastAsia="Arial" w:hAnsi="Arial" w:cs="Arial"/>
                    <w:sz w:val="24"/>
                    <w:szCs w:val="24"/>
                  </w:rPr>
                </w:pPr>
                <w:r>
                  <w:rPr>
                    <w:rFonts w:ascii="Arial" w:eastAsia="Arial" w:hAnsi="Arial" w:cs="Arial"/>
                    <w:sz w:val="24"/>
                    <w:szCs w:val="24"/>
                  </w:rPr>
                  <w:t>Analyst / Junior Consultant</w:t>
                </w:r>
              </w:p>
            </w:tc>
            <w:tc>
              <w:tcPr>
                <w:tcW w:w="3072" w:type="dxa"/>
                <w:tcBorders>
                  <w:top w:val="nil"/>
                  <w:left w:val="nil"/>
                  <w:bottom w:val="single" w:sz="6" w:space="0" w:color="000000"/>
                  <w:right w:val="single" w:sz="6" w:space="0" w:color="000000"/>
                </w:tcBorders>
                <w:tcMar>
                  <w:top w:w="0" w:type="dxa"/>
                  <w:left w:w="120" w:type="dxa"/>
                  <w:bottom w:w="0" w:type="dxa"/>
                  <w:right w:w="100" w:type="dxa"/>
                </w:tcMar>
              </w:tcPr>
              <w:p w:rsidR="00A8286B" w:rsidRDefault="00773F67">
                <w:pPr>
                  <w:keepNext/>
                  <w:spacing w:before="240" w:after="120" w:line="276" w:lineRule="auto"/>
                  <w:ind w:left="40"/>
                  <w:rPr>
                    <w:rFonts w:ascii="Arial" w:eastAsia="Arial" w:hAnsi="Arial" w:cs="Arial"/>
                    <w:sz w:val="24"/>
                    <w:szCs w:val="24"/>
                  </w:rPr>
                </w:pPr>
                <w:r>
                  <w:rPr>
                    <w:rFonts w:ascii="Arial" w:eastAsia="Arial" w:hAnsi="Arial" w:cs="Arial"/>
                    <w:sz w:val="24"/>
                    <w:szCs w:val="24"/>
                  </w:rPr>
                  <w:t>[T&amp;M]</w:t>
                </w:r>
              </w:p>
            </w:tc>
            <w:tc>
              <w:tcPr>
                <w:tcW w:w="3072" w:type="dxa"/>
                <w:tcBorders>
                  <w:top w:val="nil"/>
                  <w:left w:val="nil"/>
                  <w:bottom w:val="single" w:sz="6" w:space="0" w:color="000000"/>
                  <w:right w:val="single" w:sz="6" w:space="0" w:color="000000"/>
                </w:tcBorders>
                <w:tcMar>
                  <w:top w:w="0" w:type="dxa"/>
                  <w:left w:w="120" w:type="dxa"/>
                  <w:bottom w:w="0" w:type="dxa"/>
                  <w:right w:w="100" w:type="dxa"/>
                </w:tcMar>
              </w:tcPr>
              <w:p w:rsidR="00A8286B" w:rsidRDefault="00773F67">
                <w:pPr>
                  <w:keepNext/>
                  <w:spacing w:before="240" w:after="120" w:line="276" w:lineRule="auto"/>
                  <w:ind w:left="40"/>
                  <w:rPr>
                    <w:rFonts w:ascii="Arial" w:eastAsia="Arial" w:hAnsi="Arial" w:cs="Arial"/>
                    <w:sz w:val="24"/>
                    <w:szCs w:val="24"/>
                  </w:rPr>
                </w:pPr>
                <w:r>
                  <w:rPr>
                    <w:rFonts w:ascii="Arial" w:eastAsia="Arial" w:hAnsi="Arial" w:cs="Arial"/>
                    <w:sz w:val="24"/>
                    <w:szCs w:val="24"/>
                  </w:rPr>
                  <w:t>[T&amp;M]</w:t>
                </w:r>
              </w:p>
            </w:tc>
          </w:tr>
        </w:tbl>
      </w:sdtContent>
    </w:sdt>
    <w:p w:rsidR="00A8286B" w:rsidRDefault="00A8286B">
      <w:pPr>
        <w:keepNext/>
        <w:pBdr>
          <w:top w:val="nil"/>
          <w:left w:val="nil"/>
          <w:bottom w:val="nil"/>
          <w:right w:val="nil"/>
          <w:between w:val="nil"/>
        </w:pBdr>
        <w:spacing w:before="240" w:after="240" w:line="240" w:lineRule="auto"/>
        <w:rPr>
          <w:rFonts w:ascii="Arial" w:eastAsia="Arial" w:hAnsi="Arial" w:cs="Arial"/>
          <w:sz w:val="24"/>
          <w:szCs w:val="24"/>
        </w:rPr>
      </w:pPr>
    </w:p>
    <w:p w:rsidR="00A8286B" w:rsidRDefault="00773F67">
      <w:pPr>
        <w:keepNext/>
        <w:pBdr>
          <w:top w:val="nil"/>
          <w:left w:val="nil"/>
          <w:bottom w:val="nil"/>
          <w:right w:val="nil"/>
          <w:between w:val="nil"/>
        </w:pBdr>
        <w:spacing w:before="240" w:after="240" w:line="240" w:lineRule="auto"/>
        <w:rPr>
          <w:rFonts w:ascii="Arial" w:eastAsia="Arial" w:hAnsi="Arial" w:cs="Arial"/>
          <w:b/>
          <w:sz w:val="24"/>
          <w:szCs w:val="24"/>
        </w:rPr>
      </w:pPr>
      <w:r>
        <w:rPr>
          <w:rFonts w:ascii="Arial" w:eastAsia="Arial" w:hAnsi="Arial" w:cs="Arial"/>
          <w:b/>
          <w:sz w:val="24"/>
          <w:szCs w:val="24"/>
        </w:rPr>
        <w:t>Alternative Pricing Mechanisms</w:t>
      </w:r>
    </w:p>
    <w:p w:rsidR="00A8286B" w:rsidRDefault="00773F67">
      <w:pPr>
        <w:keepNext/>
        <w:pBdr>
          <w:top w:val="nil"/>
          <w:left w:val="nil"/>
          <w:bottom w:val="nil"/>
          <w:right w:val="nil"/>
          <w:between w:val="nil"/>
        </w:pBdr>
        <w:spacing w:before="240" w:after="240" w:line="240" w:lineRule="auto"/>
        <w:rPr>
          <w:rFonts w:ascii="Arial" w:eastAsia="Arial" w:hAnsi="Arial" w:cs="Arial"/>
          <w:sz w:val="24"/>
          <w:szCs w:val="24"/>
        </w:rPr>
      </w:pPr>
      <w:r>
        <w:rPr>
          <w:rFonts w:ascii="Arial" w:eastAsia="Arial" w:hAnsi="Arial" w:cs="Arial"/>
          <w:sz w:val="24"/>
          <w:szCs w:val="24"/>
        </w:rPr>
        <w:t xml:space="preserve">The following pricing mechanisms are also available for use by Buyers in Call-Off Contracts. </w:t>
      </w:r>
    </w:p>
    <w:p w:rsidR="00A8286B" w:rsidRDefault="00773F67">
      <w:pPr>
        <w:keepNext/>
        <w:numPr>
          <w:ilvl w:val="0"/>
          <w:numId w:val="1"/>
        </w:numPr>
        <w:pBdr>
          <w:top w:val="nil"/>
          <w:left w:val="nil"/>
          <w:bottom w:val="nil"/>
          <w:right w:val="nil"/>
          <w:between w:val="nil"/>
        </w:pBdr>
        <w:spacing w:before="240" w:after="0" w:line="240" w:lineRule="auto"/>
        <w:rPr>
          <w:rFonts w:ascii="Arial" w:eastAsia="Arial" w:hAnsi="Arial" w:cs="Arial"/>
          <w:sz w:val="24"/>
          <w:szCs w:val="24"/>
        </w:rPr>
      </w:pPr>
      <w:r>
        <w:rPr>
          <w:rFonts w:ascii="Arial" w:eastAsia="Arial" w:hAnsi="Arial" w:cs="Arial"/>
          <w:sz w:val="24"/>
          <w:szCs w:val="24"/>
        </w:rPr>
        <w:t>Contingent price</w:t>
      </w:r>
    </w:p>
    <w:p w:rsidR="00A8286B" w:rsidRDefault="00773F67">
      <w:pPr>
        <w:keepNext/>
        <w:numPr>
          <w:ilvl w:val="0"/>
          <w:numId w:val="1"/>
        </w:numPr>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Fixed price</w:t>
      </w:r>
    </w:p>
    <w:p w:rsidR="00A8286B" w:rsidRDefault="00773F67">
      <w:pPr>
        <w:keepNext/>
        <w:numPr>
          <w:ilvl w:val="0"/>
          <w:numId w:val="1"/>
        </w:numPr>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Milestone prices</w:t>
      </w:r>
    </w:p>
    <w:p w:rsidR="00A8286B" w:rsidRDefault="00773F67">
      <w:pPr>
        <w:keepNext/>
        <w:numPr>
          <w:ilvl w:val="0"/>
          <w:numId w:val="1"/>
        </w:numPr>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Risk and Reward</w:t>
      </w:r>
    </w:p>
    <w:p w:rsidR="00A8286B" w:rsidRDefault="00773F67">
      <w:pPr>
        <w:keepNext/>
        <w:numPr>
          <w:ilvl w:val="0"/>
          <w:numId w:val="1"/>
        </w:numPr>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Volume based pricing</w:t>
      </w:r>
    </w:p>
    <w:p w:rsidR="00A8286B" w:rsidRDefault="00773F67">
      <w:pPr>
        <w:keepNext/>
        <w:numPr>
          <w:ilvl w:val="0"/>
          <w:numId w:val="1"/>
        </w:numPr>
        <w:pBdr>
          <w:top w:val="nil"/>
          <w:left w:val="nil"/>
          <w:bottom w:val="nil"/>
          <w:right w:val="nil"/>
          <w:between w:val="nil"/>
        </w:pBdr>
        <w:spacing w:after="240" w:line="240" w:lineRule="auto"/>
        <w:rPr>
          <w:rFonts w:ascii="Arial" w:eastAsia="Arial" w:hAnsi="Arial" w:cs="Arial"/>
          <w:sz w:val="24"/>
          <w:szCs w:val="24"/>
        </w:rPr>
      </w:pPr>
      <w:r>
        <w:rPr>
          <w:rFonts w:ascii="Arial" w:eastAsia="Arial" w:hAnsi="Arial" w:cs="Arial"/>
          <w:sz w:val="24"/>
          <w:szCs w:val="24"/>
        </w:rPr>
        <w:t>Technology enabled services</w:t>
      </w:r>
    </w:p>
    <w:sectPr w:rsidR="00A8286B">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3F67" w:rsidRDefault="00773F67">
      <w:pPr>
        <w:spacing w:after="0" w:line="240" w:lineRule="auto"/>
      </w:pPr>
      <w:r>
        <w:separator/>
      </w:r>
    </w:p>
  </w:endnote>
  <w:endnote w:type="continuationSeparator" w:id="0">
    <w:p w:rsidR="00773F67" w:rsidRDefault="00773F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286B" w:rsidRDefault="00773F6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RM6309</w:t>
    </w:r>
    <w:r>
      <w:rPr>
        <w:rFonts w:ascii="Arial" w:eastAsia="Arial" w:hAnsi="Arial" w:cs="Arial"/>
        <w:sz w:val="20"/>
        <w:szCs w:val="20"/>
      </w:rPr>
      <w:tab/>
    </w:r>
    <w:r>
      <w:rPr>
        <w:rFonts w:ascii="Arial" w:eastAsia="Arial" w:hAnsi="Arial" w:cs="Arial"/>
        <w:sz w:val="20"/>
        <w:szCs w:val="20"/>
      </w:rPr>
      <w:t xml:space="preserve">                                           </w:t>
    </w:r>
  </w:p>
  <w:p w:rsidR="00A8286B" w:rsidRDefault="00773F6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2C3352">
      <w:rPr>
        <w:rFonts w:ascii="Arial" w:eastAsia="Arial" w:hAnsi="Arial" w:cs="Arial"/>
        <w:color w:val="000000"/>
        <w:sz w:val="20"/>
        <w:szCs w:val="20"/>
      </w:rPr>
      <w:fldChar w:fldCharType="separate"/>
    </w:r>
    <w:r w:rsidR="002C3352">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A8286B" w:rsidRDefault="00773F67">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286B" w:rsidRDefault="00773F67">
    <w:pPr>
      <w:tabs>
        <w:tab w:val="center" w:pos="4513"/>
        <w:tab w:val="right" w:pos="9026"/>
      </w:tabs>
      <w:spacing w:after="0"/>
    </w:pPr>
    <w:r>
      <w:t>Framework Ref: RM</w:t>
    </w:r>
    <w:r>
      <w:tab/>
      <w:t xml:space="preserve">                                           </w:t>
    </w:r>
  </w:p>
  <w:p w:rsidR="00A8286B" w:rsidRDefault="00773F6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A8286B" w:rsidRDefault="00773F67">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3F67" w:rsidRDefault="00773F67">
      <w:pPr>
        <w:spacing w:after="0" w:line="240" w:lineRule="auto"/>
      </w:pPr>
      <w:r>
        <w:separator/>
      </w:r>
    </w:p>
  </w:footnote>
  <w:footnote w:type="continuationSeparator" w:id="0">
    <w:p w:rsidR="00773F67" w:rsidRDefault="00773F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286B" w:rsidRDefault="00773F6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A8286B" w:rsidRDefault="00773F6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286B" w:rsidRDefault="00773F6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A8286B" w:rsidRDefault="00773F67">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3D12F1"/>
    <w:multiLevelType w:val="multilevel"/>
    <w:tmpl w:val="D5BADBAC"/>
    <w:lvl w:ilvl="0">
      <w:start w:val="1"/>
      <w:numFmt w:val="bullet"/>
      <w:pStyle w:val="GPSL1CLAUSEHEADING"/>
      <w:lvlText w:val="●"/>
      <w:lvlJc w:val="left"/>
      <w:pPr>
        <w:ind w:left="720" w:hanging="360"/>
      </w:pPr>
      <w:rPr>
        <w:u w:val="none"/>
      </w:rPr>
    </w:lvl>
    <w:lvl w:ilvl="1">
      <w:start w:val="1"/>
      <w:numFmt w:val="bullet"/>
      <w:pStyle w:val="GPSL2numberedclause"/>
      <w:lvlText w:val="○"/>
      <w:lvlJc w:val="left"/>
      <w:pPr>
        <w:ind w:left="1440" w:hanging="360"/>
      </w:pPr>
      <w:rPr>
        <w:u w:val="none"/>
      </w:rPr>
    </w:lvl>
    <w:lvl w:ilvl="2">
      <w:start w:val="1"/>
      <w:numFmt w:val="bullet"/>
      <w:pStyle w:val="GPSL3numberedclause"/>
      <w:lvlText w:val="■"/>
      <w:lvlJc w:val="left"/>
      <w:pPr>
        <w:ind w:left="2160" w:hanging="360"/>
      </w:pPr>
      <w:rPr>
        <w:u w:val="none"/>
      </w:rPr>
    </w:lvl>
    <w:lvl w:ilvl="3">
      <w:start w:val="1"/>
      <w:numFmt w:val="bullet"/>
      <w:pStyle w:val="GPSL4numberedclause"/>
      <w:lvlText w:val="●"/>
      <w:lvlJc w:val="left"/>
      <w:pPr>
        <w:ind w:left="2880" w:hanging="360"/>
      </w:pPr>
      <w:rPr>
        <w:u w:val="none"/>
      </w:rPr>
    </w:lvl>
    <w:lvl w:ilvl="4">
      <w:start w:val="1"/>
      <w:numFmt w:val="bullet"/>
      <w:pStyle w:val="GPSL5numberedclause"/>
      <w:lvlText w:val="○"/>
      <w:lvlJc w:val="left"/>
      <w:pPr>
        <w:ind w:left="3600" w:hanging="360"/>
      </w:pPr>
      <w:rPr>
        <w:u w:val="none"/>
      </w:rPr>
    </w:lvl>
    <w:lvl w:ilvl="5">
      <w:start w:val="1"/>
      <w:numFmt w:val="bullet"/>
      <w:pStyle w:val="GPSL6numbered"/>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7136027F"/>
    <w:multiLevelType w:val="multilevel"/>
    <w:tmpl w:val="DA7A1528"/>
    <w:lvl w:ilvl="0">
      <w:start w:val="1"/>
      <w:numFmt w:val="decimal"/>
      <w:pStyle w:val="GPsDefinition"/>
      <w:lvlText w:val="%1."/>
      <w:lvlJc w:val="left"/>
      <w:pPr>
        <w:ind w:left="360" w:hanging="360"/>
      </w:pPr>
      <w:rPr>
        <w:rFonts w:ascii="Arial" w:eastAsia="Arial" w:hAnsi="Arial" w:cs="Arial"/>
        <w:b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990" w:hanging="720"/>
      </w:pPr>
      <w:rPr>
        <w:b w:val="0"/>
        <w:i w:val="0"/>
        <w:smallCaps w:val="0"/>
        <w:strike w:val="0"/>
        <w:color w:val="000000"/>
        <w:sz w:val="24"/>
        <w:szCs w:val="24"/>
        <w:u w:val="none"/>
        <w:vertAlign w:val="baseline"/>
      </w:rPr>
    </w:lvl>
    <w:lvl w:ilvl="3">
      <w:start w:val="1"/>
      <w:numFmt w:val="lowerLetter"/>
      <w:pStyle w:val="GPSDefinitionL4"/>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D4D51A3"/>
    <w:multiLevelType w:val="multilevel"/>
    <w:tmpl w:val="1D3E2412"/>
    <w:lvl w:ilvl="0">
      <w:start w:val="1"/>
      <w:numFmt w:val="decimal"/>
      <w:pStyle w:val="GPSL2GuidanceNumbere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86B"/>
    <w:rsid w:val="002C3352"/>
    <w:rsid w:val="00773F67"/>
    <w:rsid w:val="00A828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E2F916-4404-4AA8-B711-72AE9BF28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line="240" w:lineRule="auto"/>
    </w:pPr>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CellMar>
        <w:left w:w="115" w:type="dxa"/>
        <w:right w:w="115" w:type="dxa"/>
      </w:tblCellMar>
    </w:tblPr>
  </w:style>
  <w:style w:type="table" w:customStyle="1" w:styleId="a5">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oRWt9vHPD72iLJcqaBc7F7Acxw==">CgMxLjAaHwoBMBIaChgICVIUChJ0YWJsZS5vaGIxcTFvZm9mdHAyCGguZ2pkZ3hzMgloLjMwajB6bGwyCmlkLjN6bnlzaDcyCWguMWZvYjl0ZTIJaC4zZHk2dmttMgloLjF0M2g1c2Y4AGoiChRzdWdnZXN0LmtsY3Mxd3N4ZjY0bxIKRGF2aWQgUHlsZWoiChRzdWdnZXN0LncxeGdnZGxrdzczcRIKRGF2aWQgUHlsZWoiChRzdWdnZXN0LmU5bW54M2JoYWFxMBIKRGF2aWQgUHlsZWomChRzdWdnZXN0LmZ1d3RsNmhid2F6bBIOQmV0aGFuIFJpdmllcmVqIgoUc3VnZ2VzdC5tano4azM0MWlra3oSCkRhdmlkIFB5bGVyITFNUjduQUJMVnVrSXRLbDFwQXp6NnBBNkJZblFpSFN4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592</Words>
  <Characters>3377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Nichola Nolan</dc:creator>
  <cp:lastModifiedBy>Nichola Nolan</cp:lastModifiedBy>
  <cp:revision>2</cp:revision>
  <dcterms:created xsi:type="dcterms:W3CDTF">2024-11-14T15:15:00Z</dcterms:created>
  <dcterms:modified xsi:type="dcterms:W3CDTF">2024-11-14T15:15:00Z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